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45AA7">
      <w:pPr>
        <w:jc w:val="center"/>
        <w:rPr>
          <w:sz w:val="24"/>
          <w:szCs w:val="24"/>
          <w:lang w:eastAsia="zh-CN"/>
        </w:rPr>
      </w:pPr>
      <w:r>
        <w:rPr>
          <w:b/>
          <w:color w:val="1F4E79"/>
          <w:sz w:val="24"/>
          <w:szCs w:val="24"/>
          <w:lang w:eastAsia="zh-CN"/>
        </w:rPr>
        <w:t>甜甜圈城市文献收集模板</w:t>
      </w:r>
    </w:p>
    <w:p w14:paraId="1C66A76A">
      <w:pPr>
        <w:spacing w:before="160" w:after="80"/>
        <w:rPr>
          <w:color w:val="444444"/>
          <w:sz w:val="24"/>
          <w:szCs w:val="24"/>
          <w:lang w:eastAsia="zh-CN"/>
        </w:rPr>
      </w:pPr>
    </w:p>
    <w:p w14:paraId="4A7BA2FB">
      <w:pPr>
        <w:spacing w:before="160" w:after="80"/>
        <w:rPr>
          <w:rFonts w:hint="default"/>
          <w:b/>
          <w:bCs/>
          <w:color w:val="444444"/>
          <w:sz w:val="24"/>
          <w:szCs w:val="24"/>
          <w:lang w:val="en-US" w:eastAsia="zh-CN"/>
        </w:rPr>
      </w:pPr>
      <w:r>
        <w:rPr>
          <w:rFonts w:hint="eastAsia"/>
          <w:b/>
          <w:bCs/>
          <w:color w:val="444444"/>
          <w:sz w:val="24"/>
          <w:szCs w:val="24"/>
          <w:lang w:eastAsia="zh-CN"/>
        </w:rPr>
        <w:t>姓名：</w:t>
      </w:r>
      <w:r>
        <w:rPr>
          <w:rFonts w:hint="eastAsia"/>
          <w:b/>
          <w:bCs/>
          <w:color w:val="444444"/>
          <w:sz w:val="24"/>
          <w:szCs w:val="24"/>
          <w:lang w:val="en-US" w:eastAsia="zh-CN"/>
        </w:rPr>
        <w:t>李骁</w:t>
      </w:r>
    </w:p>
    <w:p w14:paraId="1C9903BF">
      <w:pPr>
        <w:spacing w:before="160" w:after="80"/>
        <w:rPr>
          <w:rFonts w:hint="eastAsia"/>
          <w:color w:val="444444"/>
          <w:sz w:val="24"/>
          <w:szCs w:val="24"/>
          <w:lang w:eastAsia="zh-CN"/>
        </w:rPr>
      </w:pPr>
    </w:p>
    <w:p w14:paraId="293152F8">
      <w:pPr>
        <w:spacing w:before="160" w:after="80"/>
        <w:rPr>
          <w:sz w:val="24"/>
          <w:szCs w:val="24"/>
        </w:rPr>
      </w:pPr>
      <w:r>
        <w:rPr>
          <w:b/>
          <w:color w:val="1F4E79"/>
          <w:sz w:val="24"/>
          <w:szCs w:val="24"/>
        </w:rPr>
        <w:t>一、</w:t>
      </w:r>
      <w:r>
        <w:rPr>
          <w:rFonts w:hint="eastAsia"/>
          <w:b/>
          <w:color w:val="1F4E79"/>
          <w:sz w:val="24"/>
          <w:szCs w:val="24"/>
          <w:lang w:eastAsia="zh-CN"/>
        </w:rPr>
        <w:t>文献</w:t>
      </w:r>
      <w:r>
        <w:rPr>
          <w:b/>
          <w:color w:val="1F4E79"/>
          <w:sz w:val="24"/>
          <w:szCs w:val="24"/>
        </w:rPr>
        <w:t>基本信息</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2"/>
      </w:tblGrid>
      <w:tr w14:paraId="5481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6448B62E">
            <w:pPr>
              <w:spacing w:after="0" w:line="24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lang w:eastAsia="zh-CN"/>
              </w:rPr>
              <w:t>城市/区域（中英文）：</w:t>
            </w:r>
            <w:r>
              <w:rPr>
                <w:rFonts w:hint="eastAsia" w:ascii="微软雅黑" w:hAnsi="微软雅黑" w:eastAsia="微软雅黑" w:cs="微软雅黑"/>
                <w:b/>
                <w:sz w:val="24"/>
                <w:szCs w:val="24"/>
                <w:lang w:val="en-US" w:eastAsia="zh-CN"/>
              </w:rPr>
              <w:t>Izmir 伊兹密尔</w:t>
            </w:r>
          </w:p>
        </w:tc>
      </w:tr>
      <w:tr w14:paraId="06F9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16279130">
            <w:pPr>
              <w:spacing w:after="0" w:line="24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lang w:eastAsia="zh-CN"/>
              </w:rPr>
              <w:t>国家/地区（中英文）：</w:t>
            </w:r>
            <w:r>
              <w:rPr>
                <w:rFonts w:hint="eastAsia" w:ascii="微软雅黑" w:hAnsi="微软雅黑" w:eastAsia="微软雅黑" w:cs="微软雅黑"/>
                <w:b/>
                <w:sz w:val="24"/>
                <w:szCs w:val="24"/>
                <w:lang w:val="en-US" w:eastAsia="zh-CN"/>
              </w:rPr>
              <w:t>Turkey 土耳其</w:t>
            </w:r>
          </w:p>
        </w:tc>
      </w:tr>
      <w:tr w14:paraId="2CCF4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32D4E7D9">
            <w:pPr>
              <w:spacing w:after="0" w:line="24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rPr>
              <w:t>开始时间</w:t>
            </w:r>
            <w:r>
              <w:rPr>
                <w:rFonts w:hint="eastAsia" w:ascii="微软雅黑" w:hAnsi="微软雅黑" w:eastAsia="微软雅黑" w:cs="微软雅黑"/>
                <w:b/>
                <w:sz w:val="24"/>
                <w:szCs w:val="24"/>
                <w:lang w:eastAsia="zh-CN"/>
              </w:rPr>
              <w:t>：</w:t>
            </w:r>
            <w:r>
              <w:rPr>
                <w:rFonts w:hint="eastAsia" w:ascii="微软雅黑" w:hAnsi="微软雅黑" w:eastAsia="微软雅黑" w:cs="微软雅黑"/>
                <w:color w:val="666666"/>
                <w:sz w:val="24"/>
                <w:szCs w:val="24"/>
              </w:rPr>
              <w:t>202</w:t>
            </w:r>
            <w:r>
              <w:rPr>
                <w:rFonts w:hint="eastAsia" w:ascii="微软雅黑" w:hAnsi="微软雅黑" w:eastAsia="微软雅黑" w:cs="微软雅黑"/>
                <w:color w:val="666666"/>
                <w:sz w:val="24"/>
                <w:szCs w:val="24"/>
                <w:lang w:val="en-US" w:eastAsia="zh-CN"/>
              </w:rPr>
              <w:t>4</w:t>
            </w:r>
            <w:r>
              <w:rPr>
                <w:rFonts w:hint="eastAsia" w:ascii="微软雅黑" w:hAnsi="微软雅黑" w:eastAsia="微软雅黑" w:cs="微软雅黑"/>
                <w:color w:val="666666"/>
                <w:sz w:val="24"/>
                <w:szCs w:val="24"/>
              </w:rPr>
              <w:t>-0</w:t>
            </w:r>
            <w:r>
              <w:rPr>
                <w:rFonts w:hint="eastAsia" w:ascii="微软雅黑" w:hAnsi="微软雅黑" w:eastAsia="微软雅黑" w:cs="微软雅黑"/>
                <w:color w:val="666666"/>
                <w:sz w:val="24"/>
                <w:szCs w:val="24"/>
                <w:lang w:val="en-US" w:eastAsia="zh-CN"/>
              </w:rPr>
              <w:t>9</w:t>
            </w:r>
            <w:r>
              <w:rPr>
                <w:rFonts w:hint="eastAsia" w:ascii="微软雅黑" w:hAnsi="微软雅黑" w:eastAsia="微软雅黑" w:cs="微软雅黑"/>
                <w:color w:val="666666"/>
                <w:sz w:val="24"/>
                <w:szCs w:val="24"/>
              </w:rPr>
              <w:t>-1</w:t>
            </w:r>
            <w:r>
              <w:rPr>
                <w:rFonts w:hint="eastAsia" w:ascii="微软雅黑" w:hAnsi="微软雅黑" w:eastAsia="微软雅黑" w:cs="微软雅黑"/>
                <w:color w:val="666666"/>
                <w:sz w:val="24"/>
                <w:szCs w:val="24"/>
                <w:lang w:val="en-US" w:eastAsia="zh-CN"/>
              </w:rPr>
              <w:t>4</w:t>
            </w:r>
          </w:p>
        </w:tc>
      </w:tr>
    </w:tbl>
    <w:p w14:paraId="26BA63A0">
      <w:pPr>
        <w:spacing w:before="160" w:after="80"/>
        <w:rPr>
          <w:rFonts w:hint="eastAsia" w:ascii="微软雅黑" w:hAnsi="微软雅黑" w:eastAsia="微软雅黑" w:cs="微软雅黑"/>
          <w:sz w:val="24"/>
          <w:szCs w:val="24"/>
          <w:lang w:eastAsia="zh-CN"/>
        </w:rPr>
      </w:pPr>
      <w:r>
        <w:rPr>
          <w:rFonts w:hint="eastAsia" w:ascii="微软雅黑" w:hAnsi="微软雅黑" w:eastAsia="微软雅黑" w:cs="微软雅黑"/>
          <w:b/>
          <w:color w:val="1F4E79"/>
          <w:sz w:val="24"/>
          <w:szCs w:val="24"/>
          <w:lang w:eastAsia="zh-CN"/>
        </w:rPr>
        <w:t>二、文献筛选标准（每找到一篇都先判断）</w:t>
      </w:r>
    </w:p>
    <w:p w14:paraId="578CB263">
      <w:pPr>
        <w:spacing w:after="20"/>
        <w:ind w:left="170"/>
        <w:rPr>
          <w:rFonts w:hint="eastAsia" w:ascii="微软雅黑" w:hAnsi="微软雅黑" w:eastAsia="微软雅黑" w:cs="微软雅黑"/>
          <w:sz w:val="24"/>
          <w:szCs w:val="24"/>
        </w:rPr>
      </w:pPr>
      <w:r>
        <w:rPr>
          <w:rFonts w:hint="eastAsia" w:ascii="微软雅黑" w:hAnsi="微软雅黑" w:eastAsia="微软雅黑" w:cs="微软雅黑"/>
          <w:sz w:val="24"/>
          <w:szCs w:val="24"/>
        </w:rPr>
        <w:t>1. 这篇材料是否直接涉及 Doughnut / Doughnut Economics / Doughnut City / DEAL / City Portrait？</w:t>
      </w:r>
    </w:p>
    <w:p w14:paraId="4BA461D2">
      <w:pPr>
        <w:spacing w:after="20"/>
        <w:ind w:left="170"/>
        <w:rPr>
          <w:rFonts w:hint="eastAsia" w:ascii="微软雅黑" w:hAnsi="微软雅黑" w:eastAsia="微软雅黑" w:cs="微软雅黑"/>
          <w:sz w:val="24"/>
          <w:szCs w:val="24"/>
        </w:rPr>
      </w:pPr>
      <w:r>
        <w:rPr>
          <w:rFonts w:hint="eastAsia" w:ascii="微软雅黑" w:hAnsi="微软雅黑" w:eastAsia="微软雅黑" w:cs="微软雅黑"/>
          <w:sz w:val="24"/>
          <w:szCs w:val="24"/>
        </w:rPr>
        <w:t>2. 它属于哪类来源</w:t>
      </w:r>
      <w:r>
        <w:rPr>
          <w:rFonts w:hint="eastAsia" w:ascii="微软雅黑" w:hAnsi="微软雅黑" w:eastAsia="微软雅黑" w:cs="微软雅黑"/>
          <w:sz w:val="24"/>
          <w:szCs w:val="24"/>
          <w:lang w:eastAsia="zh-CN"/>
        </w:rPr>
        <w:t>类型</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highlight w:val="yellow"/>
        </w:rPr>
        <w:t>政府官网、项目官网、政策文件、学术论文、新闻报道、评论文章</w:t>
      </w:r>
      <w:r>
        <w:rPr>
          <w:rFonts w:hint="eastAsia" w:ascii="微软雅黑" w:hAnsi="微软雅黑" w:eastAsia="微软雅黑" w:cs="微软雅黑"/>
          <w:sz w:val="24"/>
          <w:szCs w:val="24"/>
        </w:rPr>
        <w:t>？</w:t>
      </w:r>
    </w:p>
    <w:p w14:paraId="7C4997AB">
      <w:pPr>
        <w:spacing w:after="20"/>
        <w:ind w:left="17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 它提供的是原始信息，还是转述别人的信息？优先保留原始来源。</w:t>
      </w:r>
    </w:p>
    <w:p w14:paraId="2E4C67EB">
      <w:pPr>
        <w:spacing w:after="20"/>
        <w:ind w:left="17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4. 它是否能回答本组问题：这座城市为什么采用甜甜圈、做了什么、推进到哪一步？</w:t>
      </w:r>
    </w:p>
    <w:p w14:paraId="443B7252">
      <w:pPr>
        <w:spacing w:after="20"/>
        <w:ind w:left="17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5. 若不能直接支撑研究，请放入“备用资料”，不要放入核心文献。</w:t>
      </w:r>
    </w:p>
    <w:p w14:paraId="379D865C">
      <w:pPr>
        <w:spacing w:before="160" w:after="80"/>
        <w:rPr>
          <w:rFonts w:hint="eastAsia" w:ascii="微软雅黑" w:hAnsi="微软雅黑" w:eastAsia="微软雅黑" w:cs="微软雅黑"/>
          <w:sz w:val="24"/>
          <w:szCs w:val="24"/>
          <w:lang w:eastAsia="zh-CN"/>
        </w:rPr>
      </w:pPr>
      <w:r>
        <w:rPr>
          <w:rFonts w:hint="eastAsia" w:ascii="微软雅黑" w:hAnsi="微软雅黑" w:eastAsia="微软雅黑" w:cs="微软雅黑"/>
          <w:b/>
          <w:color w:val="1F4E79"/>
          <w:sz w:val="24"/>
          <w:szCs w:val="24"/>
          <w:lang w:eastAsia="zh-CN"/>
        </w:rPr>
        <w:t>三、文献收集与整理</w:t>
      </w:r>
    </w:p>
    <w:p w14:paraId="313857B5">
      <w:pPr>
        <w:spacing w:before="120" w:after="60"/>
        <w:rPr>
          <w:rFonts w:hint="eastAsia" w:ascii="微软雅黑" w:hAnsi="微软雅黑" w:eastAsia="微软雅黑" w:cs="微软雅黑"/>
          <w:sz w:val="24"/>
          <w:szCs w:val="24"/>
          <w:lang w:eastAsia="zh-CN"/>
        </w:rPr>
      </w:pPr>
      <w:r>
        <w:rPr>
          <w:rFonts w:hint="eastAsia" w:ascii="微软雅黑" w:hAnsi="微软雅黑" w:eastAsia="微软雅黑" w:cs="微软雅黑"/>
          <w:b/>
          <w:color w:val="2E5496"/>
          <w:sz w:val="24"/>
          <w:szCs w:val="24"/>
          <w:lang w:eastAsia="zh-CN"/>
        </w:rPr>
        <w:t>文献 1</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43E8F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59897DE3">
            <w:pPr>
              <w:spacing w:after="0" w:line="240" w:lineRule="auto"/>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文献题目</w:t>
            </w:r>
          </w:p>
        </w:tc>
        <w:tc>
          <w:tcPr>
            <w:tcW w:w="6350" w:type="dxa"/>
            <w:tcMar>
              <w:top w:w="90" w:type="dxa"/>
              <w:left w:w="100" w:type="dxa"/>
              <w:bottom w:w="90" w:type="dxa"/>
              <w:right w:w="100" w:type="dxa"/>
            </w:tcMar>
            <w:vAlign w:val="center"/>
          </w:tcPr>
          <w:p w14:paraId="601006E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1F1F1"/>
              <w:spacing w:line="600" w:lineRule="atLeast"/>
              <w:ind w:left="0" w:firstLine="0"/>
              <w:jc w:val="left"/>
              <w:rPr>
                <w:rFonts w:hint="eastAsia" w:ascii="微软雅黑" w:hAnsi="微软雅黑" w:eastAsia="微软雅黑" w:cs="微软雅黑"/>
                <w:b/>
                <w:bCs/>
                <w:i w:val="0"/>
                <w:iCs w:val="0"/>
                <w:caps w:val="0"/>
                <w:color w:val="212529"/>
                <w:spacing w:val="0"/>
                <w:sz w:val="24"/>
                <w:szCs w:val="24"/>
              </w:rPr>
            </w:pPr>
            <w:r>
              <w:rPr>
                <w:rFonts w:hint="eastAsia" w:ascii="微软雅黑" w:hAnsi="微软雅黑" w:eastAsia="微软雅黑" w:cs="微软雅黑"/>
                <w:b/>
                <w:bCs/>
                <w:i w:val="0"/>
                <w:iCs w:val="0"/>
                <w:caps w:val="0"/>
                <w:color w:val="212529"/>
                <w:spacing w:val="0"/>
                <w:sz w:val="24"/>
                <w:szCs w:val="24"/>
                <w:shd w:val="clear" w:fill="F1F1F1"/>
              </w:rPr>
              <w:t>Introducing Doughnut Economics to Izmir, Türkiye</w:t>
            </w:r>
          </w:p>
          <w:p w14:paraId="059F1B5A">
            <w:pPr>
              <w:keepNext w:val="0"/>
              <w:keepLines w:val="0"/>
              <w:pageBreakBefore w:val="0"/>
              <w:widowControl/>
              <w:kinsoku/>
              <w:wordWrap/>
              <w:overflowPunct/>
              <w:topLinePunct w:val="0"/>
              <w:autoSpaceDE/>
              <w:autoSpaceDN/>
              <w:bidi w:val="0"/>
              <w:adjustRightInd/>
              <w:snapToGrid/>
              <w:spacing w:after="200" w:line="276" w:lineRule="auto"/>
              <w:jc w:val="both"/>
              <w:textAlignment w:val="auto"/>
              <w:rPr>
                <w:rFonts w:hint="eastAsia" w:ascii="微软雅黑" w:hAnsi="微软雅黑" w:eastAsia="微软雅黑" w:cs="微软雅黑"/>
                <w:b w:val="0"/>
                <w:bCs/>
                <w:sz w:val="24"/>
                <w:szCs w:val="24"/>
                <w:lang w:eastAsia="zh-CN"/>
              </w:rPr>
            </w:pPr>
          </w:p>
        </w:tc>
      </w:tr>
      <w:tr w14:paraId="58669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5B10DDFC">
            <w:pPr>
              <w:spacing w:after="0" w:line="240" w:lineRule="auto"/>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作者/机构</w:t>
            </w:r>
          </w:p>
        </w:tc>
        <w:tc>
          <w:tcPr>
            <w:tcW w:w="6350" w:type="dxa"/>
            <w:tcMar>
              <w:top w:w="90" w:type="dxa"/>
              <w:left w:w="100" w:type="dxa"/>
              <w:bottom w:w="90" w:type="dxa"/>
              <w:right w:w="100" w:type="dxa"/>
            </w:tcMar>
            <w:vAlign w:val="center"/>
          </w:tcPr>
          <w:p w14:paraId="3120F513">
            <w:pPr>
              <w:keepNext w:val="0"/>
              <w:keepLines w:val="0"/>
              <w:pageBreakBefore w:val="0"/>
              <w:widowControl/>
              <w:kinsoku/>
              <w:wordWrap/>
              <w:overflowPunct/>
              <w:topLinePunct w:val="0"/>
              <w:autoSpaceDE/>
              <w:autoSpaceDN/>
              <w:bidi w:val="0"/>
              <w:adjustRightInd/>
              <w:snapToGrid/>
              <w:spacing w:after="200" w:line="276" w:lineRule="auto"/>
              <w:jc w:val="center"/>
              <w:textAlignment w:val="auto"/>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i w:val="0"/>
                <w:iCs w:val="0"/>
                <w:caps w:val="0"/>
                <w:color w:val="212529"/>
                <w:spacing w:val="0"/>
                <w:sz w:val="24"/>
                <w:szCs w:val="24"/>
                <w:shd w:val="clear" w:fill="F1F1F1"/>
              </w:rPr>
              <w:t>Posted by </w:t>
            </w:r>
            <w:r>
              <w:rPr>
                <w:rFonts w:hint="eastAsia" w:ascii="微软雅黑" w:hAnsi="微软雅黑" w:eastAsia="微软雅黑" w:cs="微软雅黑"/>
                <w:i w:val="0"/>
                <w:iCs w:val="0"/>
                <w:caps w:val="0"/>
                <w:spacing w:val="0"/>
                <w:sz w:val="24"/>
                <w:szCs w:val="24"/>
                <w:u w:val="single"/>
                <w:shd w:val="clear" w:fill="F1F1F1"/>
              </w:rPr>
              <w:fldChar w:fldCharType="begin"/>
            </w:r>
            <w:r>
              <w:rPr>
                <w:rFonts w:hint="eastAsia" w:ascii="微软雅黑" w:hAnsi="微软雅黑" w:eastAsia="微软雅黑" w:cs="微软雅黑"/>
                <w:i w:val="0"/>
                <w:iCs w:val="0"/>
                <w:caps w:val="0"/>
                <w:spacing w:val="0"/>
                <w:sz w:val="24"/>
                <w:szCs w:val="24"/>
                <w:u w:val="single"/>
                <w:shd w:val="clear" w:fill="F1F1F1"/>
              </w:rPr>
              <w:instrText xml:space="preserve"> HYPERLINK "https://doughnuteconomics.org/members/27658" </w:instrText>
            </w:r>
            <w:r>
              <w:rPr>
                <w:rFonts w:hint="eastAsia" w:ascii="微软雅黑" w:hAnsi="微软雅黑" w:eastAsia="微软雅黑" w:cs="微软雅黑"/>
                <w:i w:val="0"/>
                <w:iCs w:val="0"/>
                <w:caps w:val="0"/>
                <w:spacing w:val="0"/>
                <w:sz w:val="24"/>
                <w:szCs w:val="24"/>
                <w:u w:val="single"/>
                <w:shd w:val="clear" w:fill="F1F1F1"/>
              </w:rPr>
              <w:fldChar w:fldCharType="separate"/>
            </w:r>
            <w:r>
              <w:rPr>
                <w:rStyle w:val="136"/>
                <w:rFonts w:hint="eastAsia" w:ascii="微软雅黑" w:hAnsi="微软雅黑" w:eastAsia="微软雅黑" w:cs="微软雅黑"/>
                <w:i w:val="0"/>
                <w:iCs w:val="0"/>
                <w:caps w:val="0"/>
                <w:spacing w:val="0"/>
                <w:sz w:val="24"/>
                <w:szCs w:val="24"/>
                <w:u w:val="single"/>
                <w:shd w:val="clear" w:fill="F1F1F1"/>
              </w:rPr>
              <w:t>İzmir GEAL</w:t>
            </w:r>
            <w:r>
              <w:rPr>
                <w:rFonts w:hint="eastAsia" w:ascii="微软雅黑" w:hAnsi="微软雅黑" w:eastAsia="微软雅黑" w:cs="微软雅黑"/>
                <w:i w:val="0"/>
                <w:iCs w:val="0"/>
                <w:caps w:val="0"/>
                <w:spacing w:val="0"/>
                <w:sz w:val="24"/>
                <w:szCs w:val="24"/>
                <w:u w:val="single"/>
                <w:shd w:val="clear" w:fill="F1F1F1"/>
              </w:rPr>
              <w:fldChar w:fldCharType="end"/>
            </w:r>
          </w:p>
        </w:tc>
      </w:tr>
      <w:tr w14:paraId="51E7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73869A2C">
            <w:pPr>
              <w:spacing w:after="0" w:line="240" w:lineRule="auto"/>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来源类型</w:t>
            </w:r>
          </w:p>
        </w:tc>
        <w:tc>
          <w:tcPr>
            <w:tcW w:w="6350" w:type="dxa"/>
            <w:tcMar>
              <w:top w:w="90" w:type="dxa"/>
              <w:left w:w="100" w:type="dxa"/>
              <w:bottom w:w="90" w:type="dxa"/>
              <w:right w:w="100" w:type="dxa"/>
            </w:tcMar>
            <w:vAlign w:val="center"/>
          </w:tcPr>
          <w:p w14:paraId="0DD57B48">
            <w:pPr>
              <w:keepNext w:val="0"/>
              <w:keepLines w:val="0"/>
              <w:pageBreakBefore w:val="0"/>
              <w:widowControl/>
              <w:kinsoku/>
              <w:wordWrap/>
              <w:overflowPunct/>
              <w:topLinePunct w:val="0"/>
              <w:autoSpaceDE/>
              <w:autoSpaceDN/>
              <w:bidi w:val="0"/>
              <w:adjustRightInd/>
              <w:snapToGrid/>
              <w:spacing w:after="200" w:line="276" w:lineRule="auto"/>
              <w:jc w:val="center"/>
              <w:textAlignment w:val="auto"/>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项目官网</w:t>
            </w:r>
          </w:p>
        </w:tc>
      </w:tr>
      <w:tr w14:paraId="52AA2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2A972C52">
            <w:pPr>
              <w:spacing w:after="0" w:line="240" w:lineRule="auto"/>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链接或数据库</w:t>
            </w:r>
          </w:p>
        </w:tc>
        <w:tc>
          <w:tcPr>
            <w:tcW w:w="6350" w:type="dxa"/>
            <w:tcMar>
              <w:top w:w="90" w:type="dxa"/>
              <w:left w:w="100" w:type="dxa"/>
              <w:bottom w:w="90" w:type="dxa"/>
              <w:right w:w="100" w:type="dxa"/>
            </w:tcMar>
            <w:vAlign w:val="center"/>
          </w:tcPr>
          <w:p w14:paraId="0D3C0575">
            <w:pPr>
              <w:keepNext w:val="0"/>
              <w:keepLines w:val="0"/>
              <w:pageBreakBefore w:val="0"/>
              <w:widowControl/>
              <w:kinsoku/>
              <w:wordWrap/>
              <w:overflowPunct/>
              <w:topLinePunct w:val="0"/>
              <w:autoSpaceDE/>
              <w:autoSpaceDN/>
              <w:bidi w:val="0"/>
              <w:adjustRightInd/>
              <w:snapToGrid/>
              <w:spacing w:after="200" w:line="276" w:lineRule="auto"/>
              <w:jc w:val="center"/>
              <w:textAlignment w:val="auto"/>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rPr>
              <w:t>https://doughnuteconomics.org/stories/introducing-doughnut-economics-to-izmir-turki</w:t>
            </w:r>
            <w:r>
              <w:rPr>
                <w:rFonts w:hint="eastAsia" w:ascii="微软雅黑" w:hAnsi="微软雅黑" w:eastAsia="微软雅黑" w:cs="微软雅黑"/>
                <w:b w:val="0"/>
                <w:bCs/>
                <w:sz w:val="24"/>
                <w:szCs w:val="24"/>
                <w:lang w:val="en-US" w:eastAsia="zh-CN"/>
              </w:rPr>
              <w:t>ye</w:t>
            </w:r>
          </w:p>
        </w:tc>
      </w:tr>
      <w:tr w14:paraId="3868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63C32832">
            <w:pPr>
              <w:spacing w:after="0" w:line="240" w:lineRule="auto"/>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发布时间</w:t>
            </w:r>
          </w:p>
        </w:tc>
        <w:tc>
          <w:tcPr>
            <w:tcW w:w="6350" w:type="dxa"/>
            <w:tcMar>
              <w:top w:w="90" w:type="dxa"/>
              <w:left w:w="100" w:type="dxa"/>
              <w:bottom w:w="90" w:type="dxa"/>
              <w:right w:w="100" w:type="dxa"/>
            </w:tcMar>
            <w:vAlign w:val="center"/>
          </w:tcPr>
          <w:p w14:paraId="50E9E7A5">
            <w:pPr>
              <w:keepNext w:val="0"/>
              <w:keepLines w:val="0"/>
              <w:pageBreakBefore w:val="0"/>
              <w:widowControl/>
              <w:kinsoku/>
              <w:wordWrap/>
              <w:overflowPunct/>
              <w:topLinePunct w:val="0"/>
              <w:autoSpaceDE/>
              <w:autoSpaceDN/>
              <w:bidi w:val="0"/>
              <w:adjustRightInd/>
              <w:snapToGrid/>
              <w:spacing w:after="200" w:line="276" w:lineRule="auto"/>
              <w:jc w:val="center"/>
              <w:textAlignment w:val="auto"/>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color w:val="666666"/>
                <w:sz w:val="24"/>
                <w:szCs w:val="24"/>
              </w:rPr>
              <w:t>202</w:t>
            </w:r>
            <w:r>
              <w:rPr>
                <w:rFonts w:hint="eastAsia" w:ascii="微软雅黑" w:hAnsi="微软雅黑" w:eastAsia="微软雅黑" w:cs="微软雅黑"/>
                <w:b w:val="0"/>
                <w:bCs/>
                <w:color w:val="666666"/>
                <w:sz w:val="24"/>
                <w:szCs w:val="24"/>
                <w:lang w:val="en-US" w:eastAsia="zh-CN"/>
              </w:rPr>
              <w:t>4</w:t>
            </w:r>
            <w:r>
              <w:rPr>
                <w:rFonts w:hint="eastAsia" w:ascii="微软雅黑" w:hAnsi="微软雅黑" w:eastAsia="微软雅黑" w:cs="微软雅黑"/>
                <w:b w:val="0"/>
                <w:bCs/>
                <w:color w:val="666666"/>
                <w:sz w:val="24"/>
                <w:szCs w:val="24"/>
              </w:rPr>
              <w:t>-0</w:t>
            </w:r>
            <w:r>
              <w:rPr>
                <w:rFonts w:hint="eastAsia" w:ascii="微软雅黑" w:hAnsi="微软雅黑" w:eastAsia="微软雅黑" w:cs="微软雅黑"/>
                <w:b w:val="0"/>
                <w:bCs/>
                <w:color w:val="666666"/>
                <w:sz w:val="24"/>
                <w:szCs w:val="24"/>
                <w:lang w:val="en-US" w:eastAsia="zh-CN"/>
              </w:rPr>
              <w:t>9</w:t>
            </w:r>
            <w:r>
              <w:rPr>
                <w:rFonts w:hint="eastAsia" w:ascii="微软雅黑" w:hAnsi="微软雅黑" w:eastAsia="微软雅黑" w:cs="微软雅黑"/>
                <w:b w:val="0"/>
                <w:bCs/>
                <w:color w:val="666666"/>
                <w:sz w:val="24"/>
                <w:szCs w:val="24"/>
              </w:rPr>
              <w:t>-1</w:t>
            </w:r>
            <w:r>
              <w:rPr>
                <w:rFonts w:hint="eastAsia" w:ascii="微软雅黑" w:hAnsi="微软雅黑" w:eastAsia="微软雅黑" w:cs="微软雅黑"/>
                <w:b w:val="0"/>
                <w:bCs/>
                <w:color w:val="666666"/>
                <w:sz w:val="24"/>
                <w:szCs w:val="24"/>
                <w:lang w:val="en-US" w:eastAsia="zh-CN"/>
              </w:rPr>
              <w:t>4</w:t>
            </w:r>
          </w:p>
        </w:tc>
      </w:tr>
      <w:tr w14:paraId="051A6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1DA35B82">
            <w:pPr>
              <w:spacing w:after="0" w:line="240" w:lineRule="auto"/>
              <w:rPr>
                <w:rFonts w:hint="eastAsia" w:ascii="微软雅黑" w:hAnsi="微软雅黑" w:eastAsia="微软雅黑" w:cs="微软雅黑"/>
                <w:b w:val="0"/>
                <w:bCs/>
                <w:sz w:val="24"/>
                <w:szCs w:val="24"/>
                <w:lang w:eastAsia="zh-CN"/>
              </w:rPr>
            </w:pPr>
            <w:r>
              <w:rPr>
                <w:rFonts w:hint="eastAsia" w:ascii="微软雅黑" w:hAnsi="微软雅黑" w:eastAsia="微软雅黑" w:cs="微软雅黑"/>
                <w:b w:val="0"/>
                <w:bCs/>
                <w:sz w:val="24"/>
                <w:szCs w:val="24"/>
                <w:lang w:eastAsia="zh-CN"/>
              </w:rPr>
              <w:t>为什么值得收集</w:t>
            </w:r>
          </w:p>
        </w:tc>
        <w:tc>
          <w:tcPr>
            <w:tcW w:w="6350" w:type="dxa"/>
            <w:tcMar>
              <w:top w:w="90" w:type="dxa"/>
              <w:left w:w="100" w:type="dxa"/>
              <w:bottom w:w="90" w:type="dxa"/>
              <w:right w:w="100" w:type="dxa"/>
            </w:tcMar>
            <w:vAlign w:val="center"/>
          </w:tcPr>
          <w:p w14:paraId="1EFA584E">
            <w:pPr>
              <w:keepNext w:val="0"/>
              <w:keepLines w:val="0"/>
              <w:pageBreakBefore w:val="0"/>
              <w:widowControl/>
              <w:kinsoku/>
              <w:wordWrap/>
              <w:overflowPunct/>
              <w:topLinePunct w:val="0"/>
              <w:autoSpaceDE/>
              <w:autoSpaceDN/>
              <w:bidi w:val="0"/>
              <w:adjustRightInd/>
              <w:snapToGrid/>
              <w:spacing w:after="200" w:line="276" w:lineRule="auto"/>
              <w:jc w:val="both"/>
              <w:textAlignment w:val="auto"/>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rPr>
              <w:t>伊兹密尔本土化甜甜圈模型（Gevrek 模型）的官方实操案例，依托拉沃斯理论并结合本土文化创新，具有原创性与地域代表性；</w:t>
            </w:r>
            <w:r>
              <w:rPr>
                <w:rFonts w:hint="eastAsia" w:ascii="微软雅黑" w:hAnsi="微软雅黑" w:eastAsia="微软雅黑" w:cs="微软雅黑"/>
                <w:b w:val="0"/>
                <w:bCs/>
                <w:sz w:val="24"/>
                <w:szCs w:val="24"/>
                <w:lang w:val="en-US" w:eastAsia="zh-CN"/>
              </w:rPr>
              <w:t>并且</w:t>
            </w:r>
            <w:r>
              <w:rPr>
                <w:rFonts w:hint="eastAsia" w:ascii="微软雅黑" w:hAnsi="微软雅黑" w:eastAsia="微软雅黑" w:cs="微软雅黑"/>
                <w:b w:val="0"/>
                <w:bCs/>
                <w:sz w:val="24"/>
                <w:szCs w:val="24"/>
              </w:rPr>
              <w:t>已纳入城市 2025-2029 官方战略规划，配套落地机制完善，体系完整、时效性强，可支撑城市可持续发展、甜甜圈计划落地等相关研究。</w:t>
            </w:r>
          </w:p>
        </w:tc>
      </w:tr>
      <w:tr w14:paraId="5EBD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60CDBA63">
            <w:pPr>
              <w:spacing w:after="0" w:line="240" w:lineRule="auto"/>
              <w:rPr>
                <w:rFonts w:hint="eastAsia" w:ascii="微软雅黑" w:hAnsi="微软雅黑" w:eastAsia="微软雅黑" w:cs="微软雅黑"/>
                <w:b w:val="0"/>
                <w:bCs/>
                <w:sz w:val="24"/>
                <w:szCs w:val="24"/>
                <w:lang w:eastAsia="zh-CN"/>
              </w:rPr>
            </w:pPr>
            <w:r>
              <w:rPr>
                <w:rFonts w:hint="eastAsia" w:ascii="微软雅黑" w:hAnsi="微软雅黑" w:eastAsia="微软雅黑" w:cs="微软雅黑"/>
                <w:b w:val="0"/>
                <w:bCs/>
                <w:sz w:val="24"/>
                <w:szCs w:val="24"/>
                <w:lang w:eastAsia="zh-CN"/>
              </w:rPr>
              <w:t>原文</w:t>
            </w:r>
          </w:p>
        </w:tc>
        <w:tc>
          <w:tcPr>
            <w:tcW w:w="6350" w:type="dxa"/>
            <w:tcMar>
              <w:top w:w="90" w:type="dxa"/>
              <w:left w:w="100" w:type="dxa"/>
              <w:bottom w:w="90" w:type="dxa"/>
              <w:right w:w="100" w:type="dxa"/>
            </w:tcMar>
            <w:vAlign w:val="center"/>
          </w:tcPr>
          <w:p w14:paraId="36EC8C4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0" w:right="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t>Izmir Gevrek Model, developed within Raworth’s doughnut model framework, aims to build </w:t>
            </w:r>
            <w:r>
              <w:rPr>
                <w:rStyle w:val="135"/>
                <w:rFonts w:hint="eastAsia" w:ascii="微软雅黑" w:hAnsi="微软雅黑" w:eastAsia="微软雅黑" w:cs="微软雅黑"/>
                <w:b w:val="0"/>
                <w:bCs/>
                <w:i w:val="0"/>
                <w:iCs w:val="0"/>
                <w:caps w:val="0"/>
                <w:color w:val="212529"/>
                <w:spacing w:val="0"/>
                <w:sz w:val="24"/>
                <w:szCs w:val="24"/>
                <w:shd w:val="clear" w:fill="FFFFFF"/>
              </w:rPr>
              <w:t>a thriving, regenerative and inclusive Izmir in context of global responsibilities.</w:t>
            </w:r>
            <w:r>
              <w:rPr>
                <w:rFonts w:hint="eastAsia" w:ascii="微软雅黑" w:hAnsi="微软雅黑" w:eastAsia="微软雅黑" w:cs="微软雅黑"/>
                <w:b w:val="0"/>
                <w:bCs/>
                <w:i w:val="0"/>
                <w:iCs w:val="0"/>
                <w:caps w:val="0"/>
                <w:color w:val="212529"/>
                <w:spacing w:val="0"/>
                <w:sz w:val="24"/>
                <w:szCs w:val="24"/>
                <w:shd w:val="clear" w:fill="FFFFFF"/>
              </w:rPr>
              <w:t> If we want to prepare for the future and build an inhabitable world, we have to preserve and improve the ecosystem of Izmir so that it has a stable climate, fertile soils, healthy oceans, a protective ozone layer, ample fresh water and thriving biodiversity within these ecological boundaries, which makes our region one of the inhabitable regions of the earth.</w:t>
            </w:r>
          </w:p>
          <w:p w14:paraId="01BB80B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0" w:right="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t>Izmir Gevrek Model shows that the social and ecological problems of the city are interconnected. Aspiration of the model is to develop habits of intergenerational thinking and doing in Izmir as a thriving city, and to bequeath to future generations an “ecologically safe and socially just” urban life, embracing today's new value system. Considering social thresholds and planetary boundaries together, the Gevrek model sets out a global, national and regional approach, framing this sustainable development.  Izmir Gevrek Model invites to explore what it means to thrive in Gevrek; to create a new city portrait that make allowance for location, context, culture and global status of Izmir; and to start out a transformation towards the model’s vision with all agents and stakeholders. </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With these ambitions, Izmir has brought the Doughnut - or as we called Gevrek - to 5-year strategic plan (2025-2029) being developed by IZPA (Izmir Planning Agency) and approved by city council in September 2024.</w:t>
            </w:r>
          </w:p>
          <w:p w14:paraId="5AF2D01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0" w:right="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t>☒</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(If you wonder why we call it the Gevrek Model, here's why: One of the most commonly consumed pastries in Türkiye “Simit” is known as “Gevrek” in Izmir, as you could see in the main image.  It’s made by a chickpea yeasted dough that is rolled into a circle shape, deep fried in grape molasses for a short time, then coated with sesame seeds and baked in the oven.  Also, the word "gevrek" literally means fragile. We think that this reflects the delicate and elusive balance that Doughnut underlines.)</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4"/>
                <w:rFonts w:hint="eastAsia" w:ascii="微软雅黑" w:hAnsi="微软雅黑" w:eastAsia="微软雅黑" w:cs="微软雅黑"/>
                <w:b w:val="0"/>
                <w:bCs/>
                <w:i w:val="0"/>
                <w:iCs w:val="0"/>
                <w:caps w:val="0"/>
                <w:color w:val="212529"/>
                <w:spacing w:val="0"/>
                <w:sz w:val="24"/>
                <w:szCs w:val="24"/>
                <w:shd w:val="clear" w:fill="FFFFFF"/>
              </w:rPr>
              <w:t>Our Objectives</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The main objectives in this context are: </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(a) not overshooting the ecological ceiling and ensuring that Izmir becomes a zero carbon city together with all stakeholders, and </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(b) not falling short the social foundation, improving the quality of life of citizens and promoting social justice together with all stakeholders. </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In this way, the model aims to increase awareness on ecological and social indicators, motivates to get involved in local action and aims to achieve social transformation towards sustainable development.</w:t>
            </w:r>
          </w:p>
          <w:p w14:paraId="3CEEC0B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0" w:right="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t>The solution-based action plans to be produced within the scope of the model has been shared with the local government and Gevrek Economics Action Lab (GEAL) is established to turn the Gevrek Model into action, which bases on a community-based monitoring and information system that enables bidirectional data and information flow for impact measurement of the results of these practices.</w:t>
            </w:r>
          </w:p>
          <w:p w14:paraId="5656D6F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0" w:right="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Today, the transition process of IZPA (Izmir Planning Agency) and district municipalities to the Izmir Gevrek Model still sets on. IZPA's 2025-2029 Strategic Plan is organized with its key performance indicators and strategic area goals-objectives according to the Doughnut Model.</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4"/>
                <w:rFonts w:hint="eastAsia" w:ascii="微软雅黑" w:hAnsi="微软雅黑" w:eastAsia="微软雅黑" w:cs="微软雅黑"/>
                <w:b w:val="0"/>
                <w:bCs/>
                <w:i w:val="0"/>
                <w:iCs w:val="0"/>
                <w:caps w:val="0"/>
                <w:color w:val="212529"/>
                <w:spacing w:val="0"/>
                <w:sz w:val="24"/>
                <w:szCs w:val="24"/>
                <w:shd w:val="clear" w:fill="FFFFFF"/>
              </w:rPr>
              <w:t>Our Roadmap</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The journey for the Izmir Gevrek Model starts with the ambition of two main questions, which sets out the roadmap for Izmir Municipality's activities in the period 2024-2028:</w:t>
            </w:r>
          </w:p>
          <w:p w14:paraId="3166F91E">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720" w:right="0" w:hanging="36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t>How can we protect our region and the entire planet within the means of our life-giving planet in the process of urban development?</w:t>
            </w:r>
          </w:p>
          <w:p w14:paraId="2D5E2DCB">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720" w:right="0" w:hanging="36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t>How can we ensure that people can live a good life in a thriving city, respecting boundaries of our planet and caring the well-being of all people?</w:t>
            </w:r>
          </w:p>
          <w:p w14:paraId="790751F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0" w:right="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To guide the Municipality in answering these two questions, seven roads or pathways based on Raworth's seven lessons are identified:</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Pathway 1: Creating a thriving city by meeting local expectations with global responsibilities</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Pathway 2: Strengthen the linkages of the metropolitan municipality with the district municipalities and the municipalities of the Aegean Region, and then align them with national and global goals</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Pathway 3: Encouraging behaviors that are creative, innovative, open to developing the capacity to learn, and respectful and caring of the ecosystem in which they live</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Pathway 4:  Promote holistic thinking for the protection and improvement of our planet's living systems and our city's ecosystem</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Pathway 5:  Open-access to socio-economic and ecological data and redesigning shared models to replace centralized decision-making processes</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Pathway 6: Creating works and working conditions that regenerate, protect and enhance just like life cycles instead of unlimited growth</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Pathway 7:  Transparency, holism and changing elements over time to refresh and revise strategic decisions as needed</w:t>
            </w:r>
          </w:p>
          <w:p w14:paraId="1D86C6D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0" w:right="0"/>
              <w:jc w:val="both"/>
              <w:textAlignment w:val="auto"/>
              <w:rPr>
                <w:rFonts w:hint="eastAsia" w:ascii="微软雅黑" w:hAnsi="微软雅黑" w:eastAsia="微软雅黑" w:cs="微软雅黑"/>
                <w:b w:val="0"/>
                <w:bCs/>
                <w:sz w:val="24"/>
                <w:szCs w:val="24"/>
              </w:rPr>
            </w:pPr>
          </w:p>
          <w:p w14:paraId="657A354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0" w:right="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t>The methodology to be followed in the design and implementation of the Izmir Gevrek Model is grouped under four headings:</w:t>
            </w:r>
          </w:p>
          <w:p w14:paraId="5DA6C2AD">
            <w:pPr>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720" w:right="0" w:hanging="360"/>
              <w:jc w:val="both"/>
              <w:textAlignment w:val="auto"/>
              <w:rPr>
                <w:rFonts w:hint="eastAsia" w:ascii="微软雅黑" w:hAnsi="微软雅黑" w:eastAsia="微软雅黑" w:cs="微软雅黑"/>
                <w:b w:val="0"/>
                <w:bCs/>
                <w:sz w:val="24"/>
                <w:szCs w:val="24"/>
              </w:rPr>
            </w:pPr>
            <w:r>
              <w:rPr>
                <w:rStyle w:val="135"/>
                <w:rFonts w:hint="eastAsia" w:ascii="微软雅黑" w:hAnsi="微软雅黑" w:eastAsia="微软雅黑" w:cs="微软雅黑"/>
                <w:b w:val="0"/>
                <w:bCs/>
                <w:i w:val="0"/>
                <w:iCs w:val="0"/>
                <w:caps w:val="0"/>
                <w:color w:val="212529"/>
                <w:spacing w:val="0"/>
                <w:sz w:val="24"/>
                <w:szCs w:val="24"/>
                <w:shd w:val="clear" w:fill="FFFFFF"/>
              </w:rPr>
              <w:t>Creating Izmir Gevrek Database for Thriving İzmir</w:t>
            </w:r>
          </w:p>
          <w:p w14:paraId="77B19F4C">
            <w:pPr>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720" w:right="0" w:hanging="360"/>
              <w:jc w:val="both"/>
              <w:textAlignment w:val="auto"/>
              <w:rPr>
                <w:rFonts w:hint="eastAsia" w:ascii="微软雅黑" w:hAnsi="微软雅黑" w:eastAsia="微软雅黑" w:cs="微软雅黑"/>
                <w:b w:val="0"/>
                <w:bCs/>
                <w:sz w:val="24"/>
                <w:szCs w:val="24"/>
              </w:rPr>
            </w:pPr>
            <w:r>
              <w:rPr>
                <w:rStyle w:val="135"/>
                <w:rFonts w:hint="eastAsia" w:ascii="微软雅黑" w:hAnsi="微软雅黑" w:eastAsia="微软雅黑" w:cs="微软雅黑"/>
                <w:b w:val="0"/>
                <w:bCs/>
                <w:i w:val="0"/>
                <w:iCs w:val="0"/>
                <w:caps w:val="0"/>
                <w:color w:val="212529"/>
                <w:spacing w:val="0"/>
                <w:sz w:val="24"/>
                <w:szCs w:val="24"/>
                <w:shd w:val="clear" w:fill="FFFFFF"/>
              </w:rPr>
              <w:t>Designating of Izmir City Portrait through Participatory Methods</w:t>
            </w:r>
          </w:p>
          <w:p w14:paraId="25C5D165">
            <w:pPr>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720" w:right="0" w:hanging="360"/>
              <w:jc w:val="both"/>
              <w:textAlignment w:val="auto"/>
              <w:rPr>
                <w:rFonts w:hint="eastAsia" w:ascii="微软雅黑" w:hAnsi="微软雅黑" w:eastAsia="微软雅黑" w:cs="微软雅黑"/>
                <w:b w:val="0"/>
                <w:bCs/>
                <w:sz w:val="24"/>
                <w:szCs w:val="24"/>
              </w:rPr>
            </w:pPr>
            <w:r>
              <w:rPr>
                <w:rStyle w:val="135"/>
                <w:rFonts w:hint="eastAsia" w:ascii="微软雅黑" w:hAnsi="微软雅黑" w:eastAsia="微软雅黑" w:cs="微软雅黑"/>
                <w:b w:val="0"/>
                <w:bCs/>
                <w:i w:val="0"/>
                <w:iCs w:val="0"/>
                <w:caps w:val="0"/>
                <w:color w:val="212529"/>
                <w:spacing w:val="0"/>
                <w:sz w:val="24"/>
                <w:szCs w:val="24"/>
                <w:shd w:val="clear" w:fill="FFFFFF"/>
              </w:rPr>
              <w:t>Aligning the Gevrek Model with Business World</w:t>
            </w:r>
          </w:p>
          <w:p w14:paraId="3C2AEBEA">
            <w:pPr>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720" w:right="0" w:hanging="360"/>
              <w:jc w:val="both"/>
              <w:textAlignment w:val="auto"/>
              <w:rPr>
                <w:rFonts w:hint="eastAsia" w:ascii="微软雅黑" w:hAnsi="微软雅黑" w:eastAsia="微软雅黑" w:cs="微软雅黑"/>
                <w:b w:val="0"/>
                <w:bCs/>
                <w:i w:val="0"/>
                <w:iCs w:val="0"/>
                <w:caps w:val="0"/>
                <w:color w:val="212529"/>
                <w:spacing w:val="0"/>
                <w:sz w:val="24"/>
                <w:szCs w:val="24"/>
              </w:rPr>
            </w:pPr>
            <w:r>
              <w:rPr>
                <w:rStyle w:val="135"/>
                <w:rFonts w:hint="eastAsia" w:ascii="微软雅黑" w:hAnsi="微软雅黑" w:eastAsia="微软雅黑" w:cs="微软雅黑"/>
                <w:b w:val="0"/>
                <w:bCs/>
                <w:i w:val="0"/>
                <w:iCs w:val="0"/>
                <w:caps w:val="0"/>
                <w:color w:val="212529"/>
                <w:spacing w:val="0"/>
                <w:sz w:val="24"/>
                <w:szCs w:val="24"/>
                <w:shd w:val="clear" w:fill="FFFFFF"/>
              </w:rPr>
              <w:t>Organizing Education Program and Promotion Activities for the Dissemination and Adoption of the Model</w:t>
            </w:r>
          </w:p>
          <w:p w14:paraId="07DA5A0F">
            <w:pPr>
              <w:keepNext w:val="0"/>
              <w:keepLines w:val="0"/>
              <w:pageBreakBefore w:val="0"/>
              <w:widowControl/>
              <w:kinsoku/>
              <w:wordWrap/>
              <w:overflowPunct/>
              <w:topLinePunct w:val="0"/>
              <w:autoSpaceDE/>
              <w:autoSpaceDN/>
              <w:bidi w:val="0"/>
              <w:adjustRightInd/>
              <w:snapToGrid/>
              <w:spacing w:after="200" w:line="276" w:lineRule="auto"/>
              <w:jc w:val="center"/>
              <w:textAlignment w:val="auto"/>
              <w:rPr>
                <w:rFonts w:hint="eastAsia" w:ascii="微软雅黑" w:hAnsi="微软雅黑" w:eastAsia="微软雅黑" w:cs="微软雅黑"/>
                <w:b w:val="0"/>
                <w:bCs/>
                <w:sz w:val="24"/>
                <w:szCs w:val="24"/>
                <w:lang w:eastAsia="zh-CN"/>
              </w:rPr>
            </w:pPr>
          </w:p>
        </w:tc>
      </w:tr>
      <w:tr w14:paraId="1AB74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2DEB3892">
            <w:pPr>
              <w:spacing w:after="0" w:line="240" w:lineRule="auto"/>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中文翻译</w:t>
            </w:r>
          </w:p>
        </w:tc>
        <w:tc>
          <w:tcPr>
            <w:tcW w:w="6350" w:type="dxa"/>
            <w:shd w:val="clear" w:color="auto" w:fill="auto"/>
            <w:tcMar>
              <w:top w:w="90" w:type="dxa"/>
              <w:left w:w="100" w:type="dxa"/>
              <w:bottom w:w="90" w:type="dxa"/>
              <w:right w:w="100" w:type="dxa"/>
            </w:tcMar>
            <w:vAlign w:val="center"/>
          </w:tcPr>
          <w:p w14:paraId="5D9CC60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276" w:lineRule="auto"/>
              <w:ind w:left="0" w:right="0" w:firstLine="0"/>
              <w:jc w:val="both"/>
              <w:textAlignment w:val="auto"/>
              <w:rPr>
                <w:rFonts w:hint="eastAsia" w:ascii="微软雅黑" w:hAnsi="微软雅黑" w:eastAsia="微软雅黑" w:cs="微软雅黑"/>
                <w:b w:val="0"/>
                <w:bCs/>
                <w:i w:val="0"/>
                <w:iCs w:val="0"/>
                <w:caps w:val="0"/>
                <w:color w:val="212529"/>
                <w:spacing w:val="0"/>
                <w:sz w:val="24"/>
                <w:szCs w:val="24"/>
              </w:rPr>
            </w:pPr>
            <w:r>
              <w:rPr>
                <w:rFonts w:hint="eastAsia" w:ascii="微软雅黑" w:hAnsi="微软雅黑" w:eastAsia="微软雅黑" w:cs="微软雅黑"/>
                <w:b w:val="0"/>
                <w:bCs/>
                <w:i w:val="0"/>
                <w:iCs w:val="0"/>
                <w:caps w:val="0"/>
                <w:color w:val="212529"/>
                <w:spacing w:val="0"/>
                <w:sz w:val="24"/>
                <w:szCs w:val="24"/>
                <w:shd w:val="clear" w:fill="FFFFFF"/>
              </w:rPr>
              <w:t>伊兹密尔·盖夫雷克模型基于</w:t>
            </w:r>
            <w:r>
              <w:rPr>
                <w:rFonts w:hint="eastAsia" w:ascii="微软雅黑" w:hAnsi="微软雅黑" w:eastAsia="微软雅黑" w:cs="微软雅黑"/>
                <w:b w:val="0"/>
                <w:bCs/>
                <w:i w:val="0"/>
                <w:iCs w:val="0"/>
                <w:caps w:val="0"/>
                <w:color w:val="212529"/>
                <w:spacing w:val="0"/>
                <w:sz w:val="24"/>
                <w:szCs w:val="24"/>
                <w:shd w:val="clear" w:fill="FFFFFF"/>
                <w:lang w:val="en-US" w:eastAsia="zh-CN"/>
              </w:rPr>
              <w:t>拉</w:t>
            </w:r>
            <w:r>
              <w:rPr>
                <w:rFonts w:hint="eastAsia" w:ascii="微软雅黑" w:hAnsi="微软雅黑" w:eastAsia="微软雅黑" w:cs="微软雅黑"/>
                <w:b w:val="0"/>
                <w:bCs/>
                <w:i w:val="0"/>
                <w:iCs w:val="0"/>
                <w:caps w:val="0"/>
                <w:color w:val="212529"/>
                <w:spacing w:val="0"/>
                <w:sz w:val="24"/>
                <w:szCs w:val="24"/>
                <w:shd w:val="clear" w:fill="FFFFFF"/>
              </w:rPr>
              <w:t>沃斯甜甜圈模型框架开发，旨在在全球责任背景下建设一个</w:t>
            </w:r>
            <w:r>
              <w:rPr>
                <w:rStyle w:val="135"/>
                <w:rFonts w:hint="eastAsia" w:ascii="微软雅黑" w:hAnsi="微软雅黑" w:eastAsia="微软雅黑" w:cs="微软雅黑"/>
                <w:b w:val="0"/>
                <w:bCs/>
                <w:i w:val="0"/>
                <w:iCs w:val="0"/>
                <w:caps w:val="0"/>
                <w:color w:val="212529"/>
                <w:spacing w:val="0"/>
                <w:sz w:val="24"/>
                <w:szCs w:val="24"/>
                <w:shd w:val="clear" w:fill="FFFFFF"/>
              </w:rPr>
              <w:t>繁荣、再生且包容的伊兹密尔。</w:t>
            </w:r>
            <w:r>
              <w:rPr>
                <w:rFonts w:hint="eastAsia" w:ascii="微软雅黑" w:hAnsi="微软雅黑" w:eastAsia="微软雅黑" w:cs="微软雅黑"/>
                <w:b w:val="0"/>
                <w:bCs/>
                <w:i w:val="0"/>
                <w:iCs w:val="0"/>
                <w:caps w:val="0"/>
                <w:color w:val="212529"/>
                <w:spacing w:val="0"/>
                <w:sz w:val="24"/>
                <w:szCs w:val="24"/>
                <w:shd w:val="clear" w:fill="FFFFFF"/>
              </w:rPr>
              <w:t>如果我们想为未来做准备，建设一个宜居世界，就必须保护和改善伊兹密尔的生态系统，使其拥有稳定的气候、肥沃的土壤、健康的海洋、保护性的臭氧层、充足的淡水和在这些生态边界内繁荣的生物多样性，这使得我们的地区成为地球上宜居地区之一。</w:t>
            </w:r>
          </w:p>
          <w:p w14:paraId="1048DFC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276" w:lineRule="auto"/>
              <w:ind w:left="0" w:right="0" w:firstLine="0"/>
              <w:jc w:val="both"/>
              <w:textAlignment w:val="auto"/>
              <w:rPr>
                <w:rFonts w:hint="eastAsia" w:ascii="微软雅黑" w:hAnsi="微软雅黑" w:eastAsia="微软雅黑" w:cs="微软雅黑"/>
                <w:b w:val="0"/>
                <w:bCs/>
                <w:i w:val="0"/>
                <w:iCs w:val="0"/>
                <w:caps w:val="0"/>
                <w:color w:val="212529"/>
                <w:spacing w:val="0"/>
                <w:sz w:val="24"/>
                <w:szCs w:val="24"/>
              </w:rPr>
            </w:pPr>
            <w:r>
              <w:rPr>
                <w:rFonts w:hint="eastAsia" w:ascii="微软雅黑" w:hAnsi="微软雅黑" w:eastAsia="微软雅黑" w:cs="微软雅黑"/>
                <w:b w:val="0"/>
                <w:bCs/>
                <w:i w:val="0"/>
                <w:iCs w:val="0"/>
                <w:caps w:val="0"/>
                <w:color w:val="212529"/>
                <w:spacing w:val="0"/>
                <w:sz w:val="24"/>
                <w:szCs w:val="24"/>
                <w:shd w:val="clear" w:fill="FFFFFF"/>
              </w:rPr>
              <w:t>伊兹密尔·盖夫雷克模型表明，城市的社会和生态问题是相互关联的。该模式的目标是培养伊兹密尔作为一座繁荣城市的代际思维和行为习惯，并将“生态安全且社会公正”的城市生活传承给后代，接受当今的新价值体系。结合社会门槛和地球边界，Gevrek模型提出了全球、国家和区域的视角，构建了可持续发展的框架。伊兹密尔·盖夫雷克模型邀请探讨在盖弗雷克中茁壮成长的意义;创造一幅新的城市肖像，兼顾伊兹密尔的位置、背景、文化和全球地位;并与所有代理和利益相关者一起，开始向模型愿景转型。</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凭借这些雄心，伊兹密尔将甜甜圈计划——我们称之为Gevrek——纳入由伊兹密尔规划局（IZPA）制定的五年战略规划（2025-2029），并于2024年9月获得市议会批准。</w:t>
            </w:r>
          </w:p>
          <w:p w14:paraId="696DE49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276" w:lineRule="auto"/>
              <w:ind w:left="0" w:right="0" w:firstLine="0"/>
              <w:jc w:val="both"/>
              <w:textAlignment w:val="auto"/>
              <w:rPr>
                <w:rFonts w:hint="eastAsia" w:ascii="微软雅黑" w:hAnsi="微软雅黑" w:eastAsia="微软雅黑" w:cs="微软雅黑"/>
                <w:b w:val="0"/>
                <w:bCs/>
                <w:i w:val="0"/>
                <w:iCs w:val="0"/>
                <w:caps w:val="0"/>
                <w:color w:val="212529"/>
                <w:spacing w:val="0"/>
                <w:sz w:val="24"/>
                <w:szCs w:val="24"/>
              </w:rPr>
            </w:pPr>
            <w:r>
              <w:rPr>
                <w:rFonts w:hint="eastAsia" w:ascii="微软雅黑" w:hAnsi="微软雅黑" w:eastAsia="微软雅黑" w:cs="微软雅黑"/>
                <w:b w:val="0"/>
                <w:bCs/>
                <w:i w:val="0"/>
                <w:iCs w:val="0"/>
                <w:caps w:val="0"/>
                <w:color w:val="212529"/>
                <w:spacing w:val="0"/>
                <w:sz w:val="24"/>
                <w:szCs w:val="24"/>
                <w:shd w:val="clear" w:fill="FFFFFF"/>
              </w:rPr>
              <w:t>☒</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如果你想知道为什么我们称之为Gevrek模式，原因如下：土耳其最常食用的糕点之一“Simit”在伊兹密尔被称为“Gevrek”，正如主图所示。它是用鹰嘴豆酵母面团制成的，揉成圆形，先用葡萄糖蜜油炸，然后裹上芝麻，放入烤箱烘烤。此外，“gevrek”字面意思是脆弱的。我们认为这反映了《甜甜圈》所强调的微妙而难以捉摸的平衡。）</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4"/>
                <w:rFonts w:hint="eastAsia" w:ascii="微软雅黑" w:hAnsi="微软雅黑" w:eastAsia="微软雅黑" w:cs="微软雅黑"/>
                <w:b w:val="0"/>
                <w:bCs/>
                <w:i w:val="0"/>
                <w:iCs w:val="0"/>
                <w:caps w:val="0"/>
                <w:color w:val="212529"/>
                <w:spacing w:val="0"/>
                <w:sz w:val="24"/>
                <w:szCs w:val="24"/>
                <w:shd w:val="clear" w:fill="FFFFFF"/>
              </w:rPr>
              <w:t>我们的目标</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在此背景下</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的主要目标是：</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（a）不超越生态上限，确保伊兹密尔与所有利益相关者共同成为零碳城市;</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（b）不落后社会基础，改善公民生活质量，并与所有利益相关者共同推动社会正义。</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通过这种方式，该模型旨在提高对生态和社会指标的认知，激励参与地方行动，并致力于实现向可持续发展的社会转型。</w:t>
            </w:r>
          </w:p>
          <w:p w14:paraId="5FA1E94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276" w:lineRule="auto"/>
              <w:ind w:left="0" w:right="0" w:firstLine="0"/>
              <w:jc w:val="both"/>
              <w:textAlignment w:val="auto"/>
              <w:rPr>
                <w:rFonts w:hint="eastAsia" w:ascii="微软雅黑" w:hAnsi="微软雅黑" w:eastAsia="微软雅黑" w:cs="微软雅黑"/>
                <w:b w:val="0"/>
                <w:bCs/>
                <w:i w:val="0"/>
                <w:iCs w:val="0"/>
                <w:caps w:val="0"/>
                <w:color w:val="212529"/>
                <w:spacing w:val="0"/>
                <w:sz w:val="24"/>
                <w:szCs w:val="24"/>
              </w:rPr>
            </w:pPr>
            <w:r>
              <w:rPr>
                <w:rFonts w:hint="eastAsia" w:ascii="微软雅黑" w:hAnsi="微软雅黑" w:eastAsia="微软雅黑" w:cs="微软雅黑"/>
                <w:b w:val="0"/>
                <w:bCs/>
                <w:i w:val="0"/>
                <w:iCs w:val="0"/>
                <w:caps w:val="0"/>
                <w:color w:val="212529"/>
                <w:spacing w:val="0"/>
                <w:sz w:val="24"/>
                <w:szCs w:val="24"/>
                <w:shd w:val="clear" w:fill="FFFFFF"/>
              </w:rPr>
              <w:t>在模型范围内拟制定的解决方案型行动计划已与地方政府共享，Gevrek经济行动实验室（GEAL）已成立，旨在将Gevrek模型付诸行动，该模型基于社区监测和信息系统，能够实现双向数据和信息流，以衡量这些实践结果的影响。</w:t>
            </w:r>
          </w:p>
          <w:p w14:paraId="7DA8CEE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276" w:lineRule="auto"/>
              <w:ind w:left="0" w:right="0" w:firstLine="0"/>
              <w:jc w:val="both"/>
              <w:textAlignment w:val="auto"/>
              <w:rPr>
                <w:rFonts w:hint="eastAsia" w:ascii="微软雅黑" w:hAnsi="微软雅黑" w:eastAsia="微软雅黑" w:cs="微软雅黑"/>
                <w:b w:val="0"/>
                <w:bCs/>
                <w:i w:val="0"/>
                <w:iCs w:val="0"/>
                <w:caps w:val="0"/>
                <w:color w:val="212529"/>
                <w:spacing w:val="0"/>
                <w:sz w:val="24"/>
                <w:szCs w:val="24"/>
              </w:rPr>
            </w:pP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如今，伊兹密尔规划局（IZPA）和各区市政当局向伊兹密尔格夫雷克模式的过渡进程仍在进行中。IZPA 2025-2029 战略规划根据甜甜圈模型编排，包含关键绩效指标和战略领域目标。</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4"/>
                <w:rFonts w:hint="eastAsia" w:ascii="微软雅黑" w:hAnsi="微软雅黑" w:eastAsia="微软雅黑" w:cs="微软雅黑"/>
                <w:b w:val="0"/>
                <w:bCs/>
                <w:i w:val="0"/>
                <w:iCs w:val="0"/>
                <w:caps w:val="0"/>
                <w:color w:val="212529"/>
                <w:spacing w:val="0"/>
                <w:sz w:val="24"/>
                <w:szCs w:val="24"/>
                <w:shd w:val="clear" w:fill="FFFFFF"/>
              </w:rPr>
              <w:t>我们的路线图</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伊兹密尔盖夫雷克模式的旅程始于两个主要问题的雄心，这为2024-2028年伊兹密尔市政当局的活动规划了路线图：</w:t>
            </w:r>
          </w:p>
          <w:p w14:paraId="164F01C9">
            <w:pPr>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1" w:after="200" w:afterAutospacing="1" w:line="276" w:lineRule="auto"/>
              <w:ind w:left="720" w:hanging="36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t>在城市发展过程中，我们如何在生命地球的资源范围内保护我们的地区乃至整个地球？</w:t>
            </w:r>
          </w:p>
          <w:p w14:paraId="2EFFF998">
            <w:pPr>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1" w:after="200" w:afterAutospacing="1" w:line="276" w:lineRule="auto"/>
              <w:ind w:left="720" w:hanging="360"/>
              <w:jc w:val="both"/>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i w:val="0"/>
                <w:iCs w:val="0"/>
                <w:caps w:val="0"/>
                <w:color w:val="212529"/>
                <w:spacing w:val="0"/>
                <w:sz w:val="24"/>
                <w:szCs w:val="24"/>
                <w:shd w:val="clear" w:fill="FFFFFF"/>
              </w:rPr>
              <w:t>我们如何确保人们能在一个繁荣的城市中过上美好生活，尊重地球边界，关心所有人的福祉？</w:t>
            </w:r>
          </w:p>
          <w:p w14:paraId="0BC9198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276" w:lineRule="auto"/>
              <w:ind w:left="0" w:right="0" w:firstLine="0"/>
              <w:jc w:val="both"/>
              <w:textAlignment w:val="auto"/>
              <w:rPr>
                <w:rFonts w:hint="eastAsia" w:ascii="微软雅黑" w:hAnsi="微软雅黑" w:eastAsia="微软雅黑" w:cs="微软雅黑"/>
                <w:b w:val="0"/>
                <w:bCs/>
                <w:i w:val="0"/>
                <w:iCs w:val="0"/>
                <w:caps w:val="0"/>
                <w:color w:val="212529"/>
                <w:spacing w:val="0"/>
                <w:sz w:val="24"/>
                <w:szCs w:val="24"/>
              </w:rPr>
            </w:pP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为指导市政当局回答这两个问题，基于罗沃斯的七条教训，确定了七条道路或路径：</w:t>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路径</w:t>
            </w:r>
            <w:r>
              <w:rPr>
                <w:rStyle w:val="135"/>
                <w:rFonts w:hint="eastAsia" w:ascii="微软雅黑" w:hAnsi="微软雅黑" w:eastAsia="微软雅黑" w:cs="微软雅黑"/>
                <w:b w:val="0"/>
                <w:bCs/>
                <w:i w:val="0"/>
                <w:iCs w:val="0"/>
                <w:caps w:val="0"/>
                <w:color w:val="212529"/>
                <w:spacing w:val="0"/>
                <w:sz w:val="24"/>
                <w:szCs w:val="24"/>
                <w:shd w:val="clear" w:fill="FFFFFF"/>
              </w:rPr>
              <w:t>1：通过满足地方期望与全球责任</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，打造繁荣城市路径2：</w:t>
            </w:r>
            <w:r>
              <w:rPr>
                <w:rFonts w:hint="eastAsia" w:ascii="微软雅黑" w:hAnsi="微软雅黑" w:eastAsia="微软雅黑" w:cs="微软雅黑"/>
                <w:b w:val="0"/>
                <w:bCs/>
                <w:i w:val="0"/>
                <w:iCs w:val="0"/>
                <w:caps w:val="0"/>
                <w:color w:val="212529"/>
                <w:spacing w:val="0"/>
                <w:sz w:val="24"/>
                <w:szCs w:val="24"/>
                <w:shd w:val="clear" w:fill="FFFFFF"/>
              </w:rPr>
              <w:t>加强大都市市政</w:t>
            </w:r>
            <w:r>
              <w:rPr>
                <w:rStyle w:val="135"/>
                <w:rFonts w:hint="eastAsia" w:ascii="微软雅黑" w:hAnsi="微软雅黑" w:eastAsia="微软雅黑" w:cs="微软雅黑"/>
                <w:b w:val="0"/>
                <w:bCs/>
                <w:i w:val="0"/>
                <w:iCs w:val="0"/>
                <w:caps w:val="0"/>
                <w:color w:val="212529"/>
                <w:spacing w:val="0"/>
                <w:sz w:val="24"/>
                <w:szCs w:val="24"/>
                <w:shd w:val="clear" w:fill="FFFFFF"/>
              </w:rPr>
              <w:t>当局与爱琴海地区区市政当局及各市政当局的联系，并与国家级城市保持一致以及全球目标</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路径3：</w:t>
            </w:r>
            <w:r>
              <w:rPr>
                <w:rFonts w:hint="eastAsia" w:ascii="微软雅黑" w:hAnsi="微软雅黑" w:eastAsia="微软雅黑" w:cs="微软雅黑"/>
                <w:b w:val="0"/>
                <w:bCs/>
                <w:i w:val="0"/>
                <w:iCs w:val="0"/>
                <w:caps w:val="0"/>
                <w:color w:val="212529"/>
                <w:spacing w:val="0"/>
                <w:sz w:val="24"/>
                <w:szCs w:val="24"/>
                <w:shd w:val="clear" w:fill="FFFFFF"/>
              </w:rPr>
              <w:t>鼓励创造性</w:t>
            </w:r>
            <w:r>
              <w:rPr>
                <w:rStyle w:val="135"/>
                <w:rFonts w:hint="eastAsia" w:ascii="微软雅黑" w:hAnsi="微软雅黑" w:eastAsia="微软雅黑" w:cs="微软雅黑"/>
                <w:b w:val="0"/>
                <w:bCs/>
                <w:i w:val="0"/>
                <w:iCs w:val="0"/>
                <w:caps w:val="0"/>
                <w:color w:val="212529"/>
                <w:spacing w:val="0"/>
                <w:sz w:val="24"/>
                <w:szCs w:val="24"/>
                <w:shd w:val="clear" w:fill="FFFFFF"/>
              </w:rPr>
              <w:t>、创新性、开放学习能力，并尊重和关爱所处</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生态系统的行为路径4： 促进整体思维以保护和改善我们星球的生命系统和城市生态系统</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Fonts w:hint="eastAsia" w:ascii="微软雅黑" w:hAnsi="微软雅黑" w:eastAsia="微软雅黑" w:cs="微软雅黑"/>
                <w:b w:val="0"/>
                <w:bCs/>
                <w:i w:val="0"/>
                <w:iCs w:val="0"/>
                <w:caps w:val="0"/>
                <w:color w:val="212529"/>
                <w:spacing w:val="0"/>
                <w:sz w:val="24"/>
                <w:szCs w:val="24"/>
                <w:shd w:val="clear" w:fill="FFFFFF"/>
              </w:rPr>
              <w:t>路径</w:t>
            </w:r>
            <w:r>
              <w:rPr>
                <w:rStyle w:val="135"/>
                <w:rFonts w:hint="eastAsia" w:ascii="微软雅黑" w:hAnsi="微软雅黑" w:eastAsia="微软雅黑" w:cs="微软雅黑"/>
                <w:b w:val="0"/>
                <w:bCs/>
                <w:i w:val="0"/>
                <w:iCs w:val="0"/>
                <w:caps w:val="0"/>
                <w:color w:val="212529"/>
                <w:spacing w:val="0"/>
                <w:sz w:val="24"/>
                <w:szCs w:val="24"/>
                <w:shd w:val="clear" w:fill="FFFFFF"/>
              </w:rPr>
              <w:t>5： 开放获取社会经济和生态数据，重新设计共享模型以取代集中式决策流程</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路径6：创造能够再生、保护和提升的工作条件，就像生命周期一样，而非无限增长</w:t>
            </w:r>
            <w:r>
              <w:rPr>
                <w:rStyle w:val="135"/>
                <w:rFonts w:hint="eastAsia" w:ascii="微软雅黑" w:hAnsi="微软雅黑" w:eastAsia="微软雅黑" w:cs="微软雅黑"/>
                <w:b w:val="0"/>
                <w:bCs/>
                <w:i w:val="0"/>
                <w:iCs w:val="0"/>
                <w:caps w:val="0"/>
                <w:color w:val="212529"/>
                <w:spacing w:val="0"/>
                <w:sz w:val="24"/>
                <w:szCs w:val="24"/>
                <w:shd w:val="clear" w:fill="FFFFFF"/>
              </w:rPr>
              <w:br w:type="textWrapping"/>
            </w:r>
            <w:r>
              <w:rPr>
                <w:rStyle w:val="135"/>
                <w:rFonts w:hint="eastAsia" w:ascii="微软雅黑" w:hAnsi="微软雅黑" w:eastAsia="微软雅黑" w:cs="微软雅黑"/>
                <w:b w:val="0"/>
                <w:bCs/>
                <w:i w:val="0"/>
                <w:iCs w:val="0"/>
                <w:caps w:val="0"/>
                <w:color w:val="212529"/>
                <w:spacing w:val="0"/>
                <w:sz w:val="24"/>
                <w:szCs w:val="24"/>
                <w:shd w:val="clear" w:fill="FFFFFF"/>
              </w:rPr>
              <w:t>路径7：透明、整体性，并随着时间调整元素，以根据需要更新和修订战略决策</w:t>
            </w:r>
          </w:p>
          <w:p w14:paraId="4F5F984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276" w:lineRule="auto"/>
              <w:ind w:left="0" w:right="0" w:firstLine="0"/>
              <w:jc w:val="both"/>
              <w:textAlignment w:val="auto"/>
              <w:rPr>
                <w:rFonts w:hint="eastAsia" w:ascii="微软雅黑" w:hAnsi="微软雅黑" w:eastAsia="微软雅黑" w:cs="微软雅黑"/>
                <w:b w:val="0"/>
                <w:bCs/>
                <w:i w:val="0"/>
                <w:iCs w:val="0"/>
                <w:caps w:val="0"/>
                <w:color w:val="212529"/>
                <w:spacing w:val="0"/>
                <w:sz w:val="24"/>
                <w:szCs w:val="24"/>
              </w:rPr>
            </w:pPr>
          </w:p>
          <w:p w14:paraId="5D33DED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276" w:lineRule="auto"/>
              <w:ind w:left="0" w:right="0" w:firstLine="0"/>
              <w:jc w:val="both"/>
              <w:textAlignment w:val="auto"/>
              <w:rPr>
                <w:rFonts w:hint="eastAsia" w:ascii="微软雅黑" w:hAnsi="微软雅黑" w:eastAsia="微软雅黑" w:cs="微软雅黑"/>
                <w:b w:val="0"/>
                <w:bCs/>
                <w:i w:val="0"/>
                <w:iCs w:val="0"/>
                <w:caps w:val="0"/>
                <w:color w:val="212529"/>
                <w:spacing w:val="0"/>
                <w:sz w:val="24"/>
                <w:szCs w:val="24"/>
              </w:rPr>
            </w:pPr>
            <w:r>
              <w:rPr>
                <w:rFonts w:hint="eastAsia" w:ascii="微软雅黑" w:hAnsi="微软雅黑" w:eastAsia="微软雅黑" w:cs="微软雅黑"/>
                <w:b w:val="0"/>
                <w:bCs/>
                <w:i w:val="0"/>
                <w:iCs w:val="0"/>
                <w:caps w:val="0"/>
                <w:color w:val="212529"/>
                <w:spacing w:val="0"/>
                <w:sz w:val="24"/>
                <w:szCs w:val="24"/>
                <w:shd w:val="clear" w:fill="FFFFFF"/>
              </w:rPr>
              <w:t>伊兹密尔·盖夫雷克模型设计和实施中应遵循的方法论分为四个类别：</w:t>
            </w:r>
          </w:p>
          <w:p w14:paraId="4ED594F6">
            <w:pPr>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1" w:after="200" w:afterAutospacing="1" w:line="276" w:lineRule="auto"/>
              <w:ind w:left="720" w:hanging="360"/>
              <w:jc w:val="both"/>
              <w:textAlignment w:val="auto"/>
              <w:rPr>
                <w:rFonts w:hint="eastAsia" w:ascii="微软雅黑" w:hAnsi="微软雅黑" w:eastAsia="微软雅黑" w:cs="微软雅黑"/>
                <w:b w:val="0"/>
                <w:bCs/>
                <w:sz w:val="24"/>
                <w:szCs w:val="24"/>
              </w:rPr>
            </w:pPr>
            <w:r>
              <w:rPr>
                <w:rStyle w:val="135"/>
                <w:rFonts w:hint="eastAsia" w:ascii="微软雅黑" w:hAnsi="微软雅黑" w:eastAsia="微软雅黑" w:cs="微软雅黑"/>
                <w:b w:val="0"/>
                <w:bCs/>
                <w:i w:val="0"/>
                <w:iCs w:val="0"/>
                <w:caps w:val="0"/>
                <w:color w:val="212529"/>
                <w:spacing w:val="0"/>
                <w:sz w:val="24"/>
                <w:szCs w:val="24"/>
                <w:shd w:val="clear" w:fill="FFFFFF"/>
              </w:rPr>
              <w:t>为繁荣的伊兹密尔建立伊兹密尔Gevrek数据库</w:t>
            </w:r>
          </w:p>
          <w:p w14:paraId="3164E1B4">
            <w:pPr>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1" w:after="200" w:afterAutospacing="1" w:line="276" w:lineRule="auto"/>
              <w:ind w:left="720" w:hanging="360"/>
              <w:jc w:val="both"/>
              <w:textAlignment w:val="auto"/>
              <w:rPr>
                <w:rFonts w:hint="eastAsia" w:ascii="微软雅黑" w:hAnsi="微软雅黑" w:eastAsia="微软雅黑" w:cs="微软雅黑"/>
                <w:b w:val="0"/>
                <w:bCs/>
                <w:sz w:val="24"/>
                <w:szCs w:val="24"/>
              </w:rPr>
            </w:pPr>
            <w:r>
              <w:rPr>
                <w:rStyle w:val="135"/>
                <w:rFonts w:hint="eastAsia" w:ascii="微软雅黑" w:hAnsi="微软雅黑" w:eastAsia="微软雅黑" w:cs="微软雅黑"/>
                <w:b w:val="0"/>
                <w:bCs/>
                <w:i w:val="0"/>
                <w:iCs w:val="0"/>
                <w:caps w:val="0"/>
                <w:color w:val="212529"/>
                <w:spacing w:val="0"/>
                <w:sz w:val="24"/>
                <w:szCs w:val="24"/>
                <w:shd w:val="clear" w:fill="FFFFFF"/>
              </w:rPr>
              <w:t>通过参与式方法指定伊兹密尔市肖像</w:t>
            </w:r>
          </w:p>
          <w:p w14:paraId="22162915">
            <w:pPr>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1" w:after="200" w:afterAutospacing="1" w:line="276" w:lineRule="auto"/>
              <w:ind w:left="720" w:hanging="360"/>
              <w:jc w:val="both"/>
              <w:textAlignment w:val="auto"/>
              <w:rPr>
                <w:rFonts w:hint="eastAsia" w:ascii="微软雅黑" w:hAnsi="微软雅黑" w:eastAsia="微软雅黑" w:cs="微软雅黑"/>
                <w:b w:val="0"/>
                <w:bCs/>
                <w:sz w:val="24"/>
                <w:szCs w:val="24"/>
              </w:rPr>
            </w:pPr>
            <w:r>
              <w:rPr>
                <w:rStyle w:val="135"/>
                <w:rFonts w:hint="eastAsia" w:ascii="微软雅黑" w:hAnsi="微软雅黑" w:eastAsia="微软雅黑" w:cs="微软雅黑"/>
                <w:b w:val="0"/>
                <w:bCs/>
                <w:i w:val="0"/>
                <w:iCs w:val="0"/>
                <w:caps w:val="0"/>
                <w:color w:val="212529"/>
                <w:spacing w:val="0"/>
                <w:sz w:val="24"/>
                <w:szCs w:val="24"/>
                <w:shd w:val="clear" w:fill="FFFFFF"/>
              </w:rPr>
              <w:t>将Gevrek模型与商业世界对接</w:t>
            </w:r>
          </w:p>
          <w:p w14:paraId="06708E31">
            <w:pPr>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1" w:after="200" w:afterAutospacing="1" w:line="276" w:lineRule="auto"/>
              <w:ind w:left="720" w:hanging="360"/>
              <w:jc w:val="both"/>
              <w:textAlignment w:val="auto"/>
              <w:rPr>
                <w:rFonts w:hint="eastAsia" w:ascii="微软雅黑" w:hAnsi="微软雅黑" w:eastAsia="微软雅黑" w:cs="微软雅黑"/>
                <w:b w:val="0"/>
                <w:bCs/>
                <w:sz w:val="24"/>
                <w:szCs w:val="24"/>
                <w:lang w:val="en-US" w:eastAsia="zh-CN" w:bidi="ar-SA"/>
              </w:rPr>
            </w:pPr>
            <w:r>
              <w:rPr>
                <w:rStyle w:val="135"/>
                <w:rFonts w:hint="eastAsia" w:ascii="微软雅黑" w:hAnsi="微软雅黑" w:eastAsia="微软雅黑" w:cs="微软雅黑"/>
                <w:b w:val="0"/>
                <w:bCs/>
                <w:i w:val="0"/>
                <w:iCs w:val="0"/>
                <w:caps w:val="0"/>
                <w:color w:val="212529"/>
                <w:spacing w:val="0"/>
                <w:sz w:val="24"/>
                <w:szCs w:val="24"/>
                <w:shd w:val="clear" w:fill="FFFFFF"/>
              </w:rPr>
              <w:t>组织教育项目和推广活动，推广和采用该模式</w:t>
            </w:r>
          </w:p>
        </w:tc>
      </w:tr>
      <w:tr w14:paraId="7F41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EAF2F8"/>
            <w:tcMar>
              <w:top w:w="90" w:type="dxa"/>
              <w:left w:w="100" w:type="dxa"/>
              <w:bottom w:w="90" w:type="dxa"/>
              <w:right w:w="100" w:type="dxa"/>
            </w:tcMar>
            <w:vAlign w:val="center"/>
          </w:tcPr>
          <w:p w14:paraId="04333344">
            <w:pPr>
              <w:spacing w:after="0" w:line="240" w:lineRule="auto"/>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你的判断</w:t>
            </w:r>
          </w:p>
        </w:tc>
        <w:tc>
          <w:tcPr>
            <w:tcW w:w="6350" w:type="dxa"/>
            <w:shd w:val="clear" w:color="auto" w:fill="auto"/>
            <w:tcMar>
              <w:top w:w="90" w:type="dxa"/>
              <w:left w:w="100" w:type="dxa"/>
              <w:bottom w:w="90" w:type="dxa"/>
              <w:right w:w="100" w:type="dxa"/>
            </w:tcMar>
            <w:vAlign w:val="center"/>
          </w:tcPr>
          <w:p w14:paraId="3B4272F9">
            <w:pPr>
              <w:spacing w:after="0" w:line="240" w:lineRule="auto"/>
              <w:rPr>
                <w:rFonts w:hint="eastAsia" w:ascii="微软雅黑" w:hAnsi="微软雅黑" w:eastAsia="微软雅黑" w:cs="微软雅黑"/>
                <w:b w:val="0"/>
                <w:bCs/>
                <w:sz w:val="24"/>
                <w:szCs w:val="24"/>
                <w:lang w:val="en-US" w:eastAsia="zh-CN" w:bidi="ar-SA"/>
              </w:rPr>
            </w:pPr>
            <w:r>
              <w:rPr>
                <w:rFonts w:hint="eastAsia" w:ascii="微软雅黑" w:hAnsi="微软雅黑" w:eastAsia="微软雅黑" w:cs="微软雅黑"/>
                <w:b w:val="0"/>
                <w:bCs/>
                <w:sz w:val="24"/>
                <w:szCs w:val="24"/>
                <w:lang w:eastAsia="zh-CN"/>
              </w:rPr>
              <w:t>是否可用于论文：☑核心文献  □辅助文献  □备用资料</w:t>
            </w:r>
            <w:r>
              <w:rPr>
                <w:rFonts w:hint="eastAsia" w:ascii="微软雅黑" w:hAnsi="微软雅黑" w:eastAsia="微软雅黑" w:cs="微软雅黑"/>
                <w:b w:val="0"/>
                <w:bCs/>
                <w:sz w:val="24"/>
                <w:szCs w:val="24"/>
                <w:lang w:eastAsia="zh-CN"/>
              </w:rPr>
              <w:br w:type="textWrapping"/>
            </w:r>
            <w:r>
              <w:rPr>
                <w:rFonts w:hint="eastAsia" w:ascii="微软雅黑" w:hAnsi="微软雅黑" w:eastAsia="微软雅黑" w:cs="微软雅黑"/>
                <w:b w:val="0"/>
                <w:bCs/>
                <w:sz w:val="24"/>
                <w:szCs w:val="24"/>
                <w:lang w:eastAsia="zh-CN"/>
              </w:rPr>
              <w:t>可信度：☑高  □中  □低</w:t>
            </w:r>
          </w:p>
        </w:tc>
      </w:tr>
    </w:tbl>
    <w:p w14:paraId="1008AEA0">
      <w:pPr>
        <w:spacing w:before="120" w:after="60"/>
        <w:rPr>
          <w:rFonts w:hint="eastAsia" w:ascii="微软雅黑" w:hAnsi="微软雅黑" w:eastAsia="微软雅黑" w:cs="微软雅黑"/>
          <w:sz w:val="24"/>
          <w:szCs w:val="24"/>
        </w:rPr>
      </w:pPr>
      <w:r>
        <w:rPr>
          <w:rFonts w:hint="eastAsia" w:ascii="微软雅黑" w:hAnsi="微软雅黑" w:eastAsia="微软雅黑" w:cs="微软雅黑"/>
          <w:b/>
          <w:color w:val="2E5496"/>
          <w:sz w:val="24"/>
          <w:szCs w:val="24"/>
        </w:rPr>
        <w:t>文献 2</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4705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81FD8A9">
            <w:pPr>
              <w:spacing w:after="0" w:line="240"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文献题目</w:t>
            </w:r>
          </w:p>
        </w:tc>
        <w:tc>
          <w:tcPr>
            <w:tcW w:w="6350" w:type="dxa"/>
            <w:tcMar>
              <w:top w:w="90" w:type="dxa"/>
              <w:left w:w="100" w:type="dxa"/>
              <w:bottom w:w="90" w:type="dxa"/>
              <w:right w:w="100" w:type="dxa"/>
            </w:tcMar>
            <w:vAlign w:val="center"/>
          </w:tcPr>
          <w:p w14:paraId="5FA48EC0">
            <w:pPr>
              <w:spacing w:after="0" w:line="240" w:lineRule="auto"/>
              <w:rPr>
                <w:rFonts w:hint="eastAsia" w:ascii="微软雅黑" w:hAnsi="微软雅黑" w:eastAsia="微软雅黑" w:cs="微软雅黑"/>
                <w:sz w:val="24"/>
                <w:szCs w:val="24"/>
              </w:rPr>
            </w:pPr>
          </w:p>
        </w:tc>
      </w:tr>
      <w:tr w14:paraId="5509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F75418D">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作者/机构</w:t>
            </w:r>
          </w:p>
        </w:tc>
        <w:tc>
          <w:tcPr>
            <w:tcW w:w="6350" w:type="dxa"/>
            <w:tcMar>
              <w:top w:w="90" w:type="dxa"/>
              <w:left w:w="100" w:type="dxa"/>
              <w:bottom w:w="90" w:type="dxa"/>
              <w:right w:w="100" w:type="dxa"/>
            </w:tcMar>
            <w:vAlign w:val="center"/>
          </w:tcPr>
          <w:p w14:paraId="40609A3C">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default" w:ascii="微软雅黑" w:hAnsi="微软雅黑" w:eastAsia="微软雅黑" w:cs="微软雅黑"/>
                <w:sz w:val="24"/>
                <w:szCs w:val="24"/>
                <w:lang w:val="en-US"/>
              </w:rPr>
            </w:pPr>
            <w:r>
              <w:rPr>
                <w:rFonts w:hint="eastAsia" w:ascii="微软雅黑" w:hAnsi="微软雅黑" w:cs="微软雅黑"/>
                <w:color w:val="000000"/>
                <w:sz w:val="24"/>
                <w:szCs w:val="24"/>
                <w:lang w:val="en-US" w:eastAsia="zh-CN"/>
              </w:rPr>
              <w:t>DOUGHNUT ECONOMICS ACTION LAB</w:t>
            </w:r>
          </w:p>
        </w:tc>
      </w:tr>
      <w:tr w14:paraId="56974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73D9C043">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来源类型</w:t>
            </w:r>
          </w:p>
        </w:tc>
        <w:tc>
          <w:tcPr>
            <w:tcW w:w="6350" w:type="dxa"/>
            <w:tcMar>
              <w:top w:w="90" w:type="dxa"/>
              <w:left w:w="100" w:type="dxa"/>
              <w:bottom w:w="90" w:type="dxa"/>
              <w:right w:w="100" w:type="dxa"/>
            </w:tcMar>
            <w:vAlign w:val="center"/>
          </w:tcPr>
          <w:p w14:paraId="03B1C9CC">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项目官网</w:t>
            </w:r>
          </w:p>
        </w:tc>
      </w:tr>
      <w:tr w14:paraId="0CDC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4ECEFFB">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链接或数据库</w:t>
            </w:r>
          </w:p>
        </w:tc>
        <w:tc>
          <w:tcPr>
            <w:tcW w:w="6350" w:type="dxa"/>
            <w:tcMar>
              <w:top w:w="90" w:type="dxa"/>
              <w:left w:w="100" w:type="dxa"/>
              <w:bottom w:w="90" w:type="dxa"/>
              <w:right w:w="100" w:type="dxa"/>
            </w:tcMar>
            <w:vAlign w:val="center"/>
          </w:tcPr>
          <w:p w14:paraId="10BF102E">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https://doughnuteconomics.org/themes/cities-regions?q=izmir#cities-ma</w:t>
            </w:r>
            <w:r>
              <w:rPr>
                <w:rFonts w:hint="eastAsia" w:ascii="微软雅黑" w:hAnsi="微软雅黑" w:eastAsia="微软雅黑" w:cs="微软雅黑"/>
                <w:sz w:val="24"/>
                <w:szCs w:val="24"/>
                <w:lang w:val="en-US" w:eastAsia="zh-CN"/>
              </w:rPr>
              <w:t>p</w:t>
            </w:r>
          </w:p>
        </w:tc>
      </w:tr>
      <w:tr w14:paraId="19FEA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1CEC5FF">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发布时间</w:t>
            </w:r>
          </w:p>
        </w:tc>
        <w:tc>
          <w:tcPr>
            <w:tcW w:w="6350" w:type="dxa"/>
            <w:tcMar>
              <w:top w:w="90" w:type="dxa"/>
              <w:left w:w="100" w:type="dxa"/>
              <w:bottom w:w="90" w:type="dxa"/>
              <w:right w:w="100" w:type="dxa"/>
            </w:tcMar>
            <w:vAlign w:val="center"/>
          </w:tcPr>
          <w:p w14:paraId="748E812E">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July,30,2025</w:t>
            </w:r>
          </w:p>
        </w:tc>
      </w:tr>
      <w:tr w14:paraId="1DA4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A8237CA">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为什么值得收集</w:t>
            </w:r>
          </w:p>
        </w:tc>
        <w:tc>
          <w:tcPr>
            <w:tcW w:w="6350" w:type="dxa"/>
            <w:tcMar>
              <w:top w:w="90" w:type="dxa"/>
              <w:left w:w="100" w:type="dxa"/>
              <w:bottom w:w="90" w:type="dxa"/>
              <w:right w:w="100" w:type="dxa"/>
            </w:tcMar>
            <w:vAlign w:val="center"/>
          </w:tcPr>
          <w:p w14:paraId="50A323E3">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伊兹密尔市政府 2025-2029 年战略规划的核心内容，以本土化 Gevrek 模型（结合本土文化）落地甜甜圈经济学理念，聚焦城市可持续发展，兼具官方实操性、地域特色与理论落地价值</w:t>
            </w:r>
          </w:p>
        </w:tc>
      </w:tr>
      <w:tr w14:paraId="27B6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F429486">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原文</w:t>
            </w:r>
          </w:p>
        </w:tc>
        <w:tc>
          <w:tcPr>
            <w:tcW w:w="6350" w:type="dxa"/>
            <w:tcMar>
              <w:top w:w="90" w:type="dxa"/>
              <w:left w:w="100" w:type="dxa"/>
              <w:bottom w:w="90" w:type="dxa"/>
              <w:right w:w="100" w:type="dxa"/>
            </w:tcMar>
            <w:vAlign w:val="center"/>
          </w:tcPr>
          <w:p w14:paraId="16E0323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276" w:lineRule="auto"/>
              <w:ind w:left="0" w:right="0" w:firstLine="0"/>
              <w:jc w:val="both"/>
              <w:rPr>
                <w:rFonts w:hint="eastAsia" w:ascii="微软雅黑" w:hAnsi="微软雅黑" w:eastAsia="微软雅黑" w:cs="微软雅黑"/>
                <w:i w:val="0"/>
                <w:iCs w:val="0"/>
                <w:caps w:val="0"/>
                <w:color w:val="212529"/>
                <w:spacing w:val="0"/>
                <w:sz w:val="24"/>
                <w:szCs w:val="24"/>
              </w:rPr>
            </w:pPr>
            <w:r>
              <w:rPr>
                <w:rFonts w:hint="eastAsia" w:ascii="微软雅黑" w:hAnsi="微软雅黑" w:eastAsia="微软雅黑" w:cs="微软雅黑"/>
                <w:i w:val="0"/>
                <w:iCs w:val="0"/>
                <w:caps w:val="0"/>
                <w:color w:val="212529"/>
                <w:spacing w:val="0"/>
                <w:sz w:val="24"/>
                <w:szCs w:val="24"/>
                <w:shd w:val="clear" w:fill="FFFFFF"/>
              </w:rPr>
              <w:t>Izmir Municipality prepared a five-year strategy plan (2025-2029) that is based on the tools and ideas offered by the Doughnut Economics.  The Doughnut model (called  "Gevrek" Model as a local circular bread, typically encrusted with sesame seeds). Izmir "Gevrek" Model aims to build ‘a thriving, regenerative and inclusive Izmir in line with global (social and ecological) goals. Izmir Municipality's Strategic Plan for the period 2025-2029 is designed to explore what it means to thrive in the "Gevrek", to draw a new portrait of the city that keeps in view Izmir's location, context, culture and global characteristics, and to take action to initiate a major transformation in all sectors in conformity with the objectives of the model.</w:t>
            </w:r>
          </w:p>
          <w:p w14:paraId="1F9E1E7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276" w:lineRule="auto"/>
              <w:ind w:left="0" w:right="0" w:firstLine="0"/>
              <w:jc w:val="both"/>
              <w:rPr>
                <w:rFonts w:hint="eastAsia" w:ascii="微软雅黑" w:hAnsi="微软雅黑" w:eastAsia="微软雅黑" w:cs="微软雅黑"/>
                <w:i w:val="0"/>
                <w:iCs w:val="0"/>
                <w:caps w:val="0"/>
                <w:color w:val="212529"/>
                <w:spacing w:val="0"/>
                <w:sz w:val="24"/>
                <w:szCs w:val="24"/>
              </w:rPr>
            </w:pPr>
            <w:r>
              <w:rPr>
                <w:rFonts w:hint="eastAsia" w:ascii="微软雅黑" w:hAnsi="微软雅黑" w:eastAsia="微软雅黑" w:cs="微软雅黑"/>
                <w:i w:val="0"/>
                <w:iCs w:val="0"/>
                <w:caps w:val="0"/>
                <w:color w:val="212529"/>
                <w:spacing w:val="0"/>
                <w:sz w:val="24"/>
                <w:szCs w:val="24"/>
                <w:shd w:val="clear" w:fill="FFFFFF"/>
              </w:rPr>
              <w:t>The methodology to be followed in the design and implementation of the Izmir Gevrek Model is grouped under four headings:</w:t>
            </w:r>
          </w:p>
          <w:p w14:paraId="1A21E711">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1" w:after="200" w:afterAutospacing="0" w:line="276" w:lineRule="auto"/>
              <w:ind w:left="720" w:hanging="36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212529"/>
                <w:spacing w:val="0"/>
                <w:sz w:val="24"/>
                <w:szCs w:val="24"/>
                <w:shd w:val="clear" w:fill="FFFFFF"/>
              </w:rPr>
              <w:t>Creating Izmir Gevrek Database for Thriving Izmir</w:t>
            </w:r>
          </w:p>
          <w:p w14:paraId="55F6ADB7">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1" w:after="200" w:afterAutospacing="0" w:line="276" w:lineRule="auto"/>
              <w:ind w:left="720" w:hanging="36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212529"/>
                <w:spacing w:val="0"/>
                <w:sz w:val="24"/>
                <w:szCs w:val="24"/>
                <w:shd w:val="clear" w:fill="FFFFFF"/>
              </w:rPr>
              <w:t>Designating of Izmir City Portrait through Participatory Methods</w:t>
            </w:r>
          </w:p>
          <w:p w14:paraId="38B0DF6B">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1" w:after="200" w:afterAutospacing="0" w:line="276" w:lineRule="auto"/>
              <w:ind w:left="720" w:hanging="36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212529"/>
                <w:spacing w:val="0"/>
                <w:sz w:val="24"/>
                <w:szCs w:val="24"/>
                <w:shd w:val="clear" w:fill="FFFFFF"/>
              </w:rPr>
              <w:t>Aligning the "Gevrek" Model with Business World</w:t>
            </w:r>
          </w:p>
          <w:p w14:paraId="0C78523F">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1" w:after="200" w:afterAutospacing="0" w:line="276" w:lineRule="auto"/>
              <w:ind w:left="720" w:hanging="36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212529"/>
                <w:spacing w:val="0"/>
                <w:sz w:val="24"/>
                <w:szCs w:val="24"/>
                <w:shd w:val="clear" w:fill="FFFFFF"/>
              </w:rPr>
              <w:t>Organizing Education Program and Promotion Activities for the Dissemination and Adoption of the Model</w:t>
            </w:r>
          </w:p>
          <w:p w14:paraId="4848B0DF">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eastAsia" w:ascii="微软雅黑" w:hAnsi="微软雅黑" w:eastAsia="微软雅黑" w:cs="微软雅黑"/>
                <w:sz w:val="24"/>
                <w:szCs w:val="24"/>
                <w:lang w:eastAsia="zh-CN"/>
              </w:rPr>
            </w:pPr>
          </w:p>
        </w:tc>
      </w:tr>
      <w:tr w14:paraId="5CCF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2E2CEB5">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中文翻译</w:t>
            </w:r>
          </w:p>
        </w:tc>
        <w:tc>
          <w:tcPr>
            <w:tcW w:w="6350" w:type="dxa"/>
            <w:tcMar>
              <w:top w:w="90" w:type="dxa"/>
              <w:left w:w="100" w:type="dxa"/>
              <w:bottom w:w="90" w:type="dxa"/>
              <w:right w:w="100" w:type="dxa"/>
            </w:tcMar>
            <w:vAlign w:val="center"/>
          </w:tcPr>
          <w:p w14:paraId="2220BBBD">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212529"/>
                <w:spacing w:val="0"/>
                <w:sz w:val="24"/>
                <w:szCs w:val="24"/>
                <w:shd w:val="clear" w:fill="FFFFFF"/>
              </w:rPr>
              <w:t>伊兹密尔市政府制定了基于甜甜圈经济学工具和理念的五年战略规划（2025-2029年）。甜甜圈模型（称为“Gevrek”型号，是当地圆形面包，通常外面包夹有芝麻）。伊兹密尔“Gevrek”模式旨在建设“一个繁荣、再生且包容的伊兹密尔，符合全球（社会和生态）目标。伊兹密尔市政府2025-2029年战略规划旨在探讨“Gevrek”中繁荣的意义，描绘出城市的新图景，结合伊兹密尔的位置、背景、文化和全球特征，并采取行动，在各领域启动重大转型，符合该模式的目标。</w:t>
            </w:r>
          </w:p>
        </w:tc>
      </w:tr>
      <w:tr w14:paraId="5325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E5F2632">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你的判断</w:t>
            </w:r>
          </w:p>
        </w:tc>
        <w:tc>
          <w:tcPr>
            <w:tcW w:w="6350" w:type="dxa"/>
            <w:tcMar>
              <w:top w:w="90" w:type="dxa"/>
              <w:left w:w="100" w:type="dxa"/>
              <w:bottom w:w="90" w:type="dxa"/>
              <w:right w:w="100" w:type="dxa"/>
            </w:tcMar>
            <w:vAlign w:val="center"/>
          </w:tcPr>
          <w:p w14:paraId="734903D5">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是否可用于论文：☑核心文献  □辅助文献  □备用资料</w:t>
            </w:r>
            <w:r>
              <w:rPr>
                <w:rFonts w:hint="eastAsia" w:ascii="微软雅黑" w:hAnsi="微软雅黑" w:eastAsia="微软雅黑" w:cs="微软雅黑"/>
                <w:sz w:val="24"/>
                <w:szCs w:val="24"/>
                <w:lang w:eastAsia="zh-CN"/>
              </w:rPr>
              <w:br w:type="textWrapping"/>
            </w:r>
            <w:r>
              <w:rPr>
                <w:rFonts w:hint="eastAsia" w:ascii="微软雅黑" w:hAnsi="微软雅黑" w:eastAsia="微软雅黑" w:cs="微软雅黑"/>
                <w:sz w:val="24"/>
                <w:szCs w:val="24"/>
                <w:lang w:eastAsia="zh-CN"/>
              </w:rPr>
              <w:t>可信度：☑高  □中  □低</w:t>
            </w:r>
          </w:p>
        </w:tc>
      </w:tr>
    </w:tbl>
    <w:p w14:paraId="64287892">
      <w:pPr>
        <w:rPr>
          <w:rFonts w:hint="eastAsia" w:ascii="微软雅黑" w:hAnsi="微软雅黑" w:eastAsia="微软雅黑" w:cs="微软雅黑"/>
          <w:b/>
          <w:color w:val="2E5496"/>
          <w:sz w:val="24"/>
          <w:szCs w:val="24"/>
        </w:rPr>
      </w:pPr>
      <w:r>
        <w:rPr>
          <w:rFonts w:hint="eastAsia" w:ascii="微软雅黑" w:hAnsi="微软雅黑" w:eastAsia="微软雅黑" w:cs="微软雅黑"/>
          <w:b/>
          <w:color w:val="2E5496"/>
          <w:sz w:val="24"/>
          <w:szCs w:val="24"/>
        </w:rPr>
        <w:br w:type="page"/>
      </w:r>
    </w:p>
    <w:p w14:paraId="4DA482AA">
      <w:pPr>
        <w:keepNext w:val="0"/>
        <w:keepLines w:val="0"/>
        <w:pageBreakBefore w:val="0"/>
        <w:widowControl/>
        <w:kinsoku/>
        <w:wordWrap/>
        <w:overflowPunct/>
        <w:topLinePunct w:val="0"/>
        <w:autoSpaceDE/>
        <w:autoSpaceDN/>
        <w:bidi w:val="0"/>
        <w:adjustRightInd/>
        <w:snapToGrid/>
        <w:spacing w:before="120"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color w:val="2E5496"/>
          <w:sz w:val="24"/>
          <w:szCs w:val="24"/>
        </w:rPr>
        <w:t>文献 3</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37A8F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B35A4E6">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文献题目</w:t>
            </w:r>
          </w:p>
        </w:tc>
        <w:tc>
          <w:tcPr>
            <w:tcW w:w="6350" w:type="dxa"/>
            <w:tcMar>
              <w:top w:w="90" w:type="dxa"/>
              <w:left w:w="100" w:type="dxa"/>
              <w:bottom w:w="90" w:type="dxa"/>
              <w:right w:w="100" w:type="dxa"/>
            </w:tcMar>
            <w:vAlign w:val="center"/>
          </w:tcPr>
          <w:p w14:paraId="761C52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13" w:lineRule="atLeast"/>
              <w:ind w:left="0" w:right="0" w:firstLine="0"/>
              <w:jc w:val="center"/>
              <w:textAlignment w:val="baseline"/>
              <w:rPr>
                <w:rFonts w:hint="eastAsia" w:ascii="微软雅黑" w:hAnsi="微软雅黑" w:eastAsia="微软雅黑" w:cs="微软雅黑"/>
                <w:sz w:val="24"/>
                <w:szCs w:val="24"/>
              </w:rPr>
            </w:pPr>
            <w:r>
              <w:rPr>
                <w:rFonts w:hint="eastAsia" w:ascii="微软雅黑" w:hAnsi="微软雅黑" w:eastAsia="微软雅黑" w:cs="微软雅黑"/>
                <w:b w:val="0"/>
                <w:bCs w:val="0"/>
                <w:i w:val="0"/>
                <w:iCs w:val="0"/>
                <w:caps w:val="0"/>
                <w:color w:val="000000"/>
                <w:spacing w:val="0"/>
                <w:sz w:val="24"/>
                <w:szCs w:val="24"/>
                <w:shd w:val="clear" w:fill="FFFFFF"/>
                <w:vertAlign w:val="baseline"/>
              </w:rPr>
              <w:t>公平且有韧性的伊兹密尔目标，采用Gevrek模型</w:t>
            </w:r>
          </w:p>
        </w:tc>
      </w:tr>
      <w:tr w14:paraId="6813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80B1B70">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作者/机构</w:t>
            </w:r>
          </w:p>
        </w:tc>
        <w:tc>
          <w:tcPr>
            <w:tcW w:w="6350" w:type="dxa"/>
            <w:tcMar>
              <w:top w:w="90" w:type="dxa"/>
              <w:left w:w="100" w:type="dxa"/>
              <w:bottom w:w="90" w:type="dxa"/>
              <w:right w:w="100" w:type="dxa"/>
            </w:tcMar>
            <w:vAlign w:val="center"/>
          </w:tcPr>
          <w:p w14:paraId="0D288F6D">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Posted by</w:t>
            </w:r>
            <w:r>
              <w:rPr>
                <w:rFonts w:hint="eastAsia" w:ascii="微软雅黑" w:hAnsi="微软雅黑" w:eastAsia="微软雅黑" w:cs="微软雅黑"/>
                <w:sz w:val="24"/>
                <w:szCs w:val="24"/>
                <w:lang w:val="en-US" w:eastAsia="zh-CN"/>
              </w:rPr>
              <w:t xml:space="preserve"> RAYHABER</w:t>
            </w:r>
          </w:p>
        </w:tc>
      </w:tr>
      <w:tr w14:paraId="1515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CDE653F">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来源类型</w:t>
            </w:r>
          </w:p>
        </w:tc>
        <w:tc>
          <w:tcPr>
            <w:tcW w:w="6350" w:type="dxa"/>
            <w:tcMar>
              <w:top w:w="90" w:type="dxa"/>
              <w:left w:w="100" w:type="dxa"/>
              <w:bottom w:w="90" w:type="dxa"/>
              <w:right w:w="100" w:type="dxa"/>
            </w:tcMar>
            <w:vAlign w:val="center"/>
          </w:tcPr>
          <w:p w14:paraId="3ADEEC24">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新闻报道</w:t>
            </w:r>
          </w:p>
        </w:tc>
      </w:tr>
      <w:tr w14:paraId="4938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7507AA9">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链接或数据库</w:t>
            </w:r>
          </w:p>
        </w:tc>
        <w:tc>
          <w:tcPr>
            <w:tcW w:w="6350" w:type="dxa"/>
            <w:tcMar>
              <w:top w:w="90" w:type="dxa"/>
              <w:left w:w="100" w:type="dxa"/>
              <w:bottom w:w="90" w:type="dxa"/>
              <w:right w:w="100" w:type="dxa"/>
            </w:tcMar>
            <w:vAlign w:val="center"/>
          </w:tcPr>
          <w:p w14:paraId="357E4C0F">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eastAsia" w:ascii="微软雅黑" w:hAnsi="微软雅黑" w:eastAsia="微软雅黑" w:cs="微软雅黑"/>
                <w:sz w:val="24"/>
                <w:szCs w:val="24"/>
                <w:lang w:val="en-US" w:eastAsia="zh-CN"/>
              </w:rPr>
            </w:pPr>
            <w:bookmarkStart w:id="0" w:name="_GoBack"/>
            <w:r>
              <w:rPr>
                <w:rFonts w:hint="eastAsia" w:ascii="微软雅黑" w:hAnsi="微软雅黑" w:eastAsia="微软雅黑" w:cs="微软雅黑"/>
                <w:sz w:val="24"/>
                <w:szCs w:val="24"/>
              </w:rPr>
              <w:t>https://rayhaber.com/2024/08/gevrek-modeli-ile-adil-ve-direncli-izmir-hedefi</w:t>
            </w:r>
            <w:r>
              <w:rPr>
                <w:rFonts w:hint="eastAsia" w:ascii="微软雅黑" w:hAnsi="微软雅黑" w:eastAsia="微软雅黑" w:cs="微软雅黑"/>
                <w:sz w:val="24"/>
                <w:szCs w:val="24"/>
                <w:lang w:val="en-US" w:eastAsia="zh-CN"/>
              </w:rPr>
              <w:t>/</w:t>
            </w:r>
            <w:bookmarkEnd w:id="0"/>
          </w:p>
        </w:tc>
      </w:tr>
      <w:tr w14:paraId="282C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DFD3BAA">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发布时间</w:t>
            </w:r>
          </w:p>
        </w:tc>
        <w:tc>
          <w:tcPr>
            <w:tcW w:w="6350" w:type="dxa"/>
            <w:tcMar>
              <w:top w:w="90" w:type="dxa"/>
              <w:left w:w="100" w:type="dxa"/>
              <w:bottom w:w="90" w:type="dxa"/>
              <w:right w:w="100" w:type="dxa"/>
            </w:tcMar>
            <w:vAlign w:val="center"/>
          </w:tcPr>
          <w:p w14:paraId="16E69D49">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2024-08-02</w:t>
            </w:r>
          </w:p>
        </w:tc>
      </w:tr>
      <w:tr w14:paraId="3DC1C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6DB4E74">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为什么值得收集</w:t>
            </w:r>
          </w:p>
        </w:tc>
        <w:tc>
          <w:tcPr>
            <w:tcW w:w="6350" w:type="dxa"/>
            <w:tcMar>
              <w:top w:w="90" w:type="dxa"/>
              <w:left w:w="100" w:type="dxa"/>
              <w:bottom w:w="90" w:type="dxa"/>
              <w:right w:w="100" w:type="dxa"/>
            </w:tcMar>
            <w:vAlign w:val="center"/>
          </w:tcPr>
          <w:p w14:paraId="365D8B9D">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记录伊兹密尔 2025-2029 战略规划（甜甜圈 / Gevrek 模型相关）的实时推进过程，含官方核心团队、协作机构的具体行动与规划思路；体现规划的历史意义、长远视野（30-50 年），以及循环经济、新一代市政主义的落地探索</w:t>
            </w:r>
          </w:p>
        </w:tc>
      </w:tr>
      <w:tr w14:paraId="39ECF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DF6513E">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原文</w:t>
            </w:r>
          </w:p>
        </w:tc>
        <w:tc>
          <w:tcPr>
            <w:tcW w:w="6350" w:type="dxa"/>
            <w:tcMar>
              <w:top w:w="90" w:type="dxa"/>
              <w:left w:w="100" w:type="dxa"/>
              <w:bottom w:w="90" w:type="dxa"/>
              <w:right w:w="100" w:type="dxa"/>
            </w:tcMar>
            <w:vAlign w:val="center"/>
          </w:tcPr>
          <w:p w14:paraId="1C25AE04">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i w:val="0"/>
                <w:iCs w:val="0"/>
                <w:caps w:val="0"/>
                <w:color w:val="000000"/>
                <w:spacing w:val="0"/>
                <w:sz w:val="24"/>
                <w:szCs w:val="24"/>
                <w:shd w:val="clear" w:fill="FFFFFF"/>
              </w:rPr>
            </w:pPr>
            <w:r>
              <w:rPr>
                <w:rFonts w:hint="eastAsia" w:ascii="微软雅黑" w:hAnsi="微软雅黑" w:eastAsia="微软雅黑" w:cs="微软雅黑"/>
                <w:i w:val="0"/>
                <w:iCs w:val="0"/>
                <w:caps w:val="0"/>
                <w:color w:val="000000"/>
                <w:spacing w:val="0"/>
                <w:sz w:val="24"/>
                <w:szCs w:val="24"/>
                <w:shd w:val="clear" w:fill="FFFFFF"/>
              </w:rPr>
              <w:t>İzmir Büyükşehir Belediye Başkanı Dr. Cemil Tugay’ın önderliğinde 2025-2029 Stratejik Plan çalışmaları sürüyor. İzmir Büyükşehir Belediyesi’nin İZSU, ESHOT ve iştirakleriyle ortak paydada buluşmasını sağlayacak plan çalışmaları çerçevesinde Başkan Tugay’ın Karşıyaka’da başlattığı, sosyal ve ekolojik sınırları belirleyen, Kate Raworth’un döngüsel ekonomi önerisinin İzmir’e uyarlandığı Gevrek Modeli gündeme geldi. Çoklu krizlerle mücadele etmek için veriye ve bilime dayalı, katılımcılık esaslı bir yol haritası olarak görülen sistem tüm kente yayılacak.</w:t>
            </w:r>
          </w:p>
          <w:p w14:paraId="61C160CD">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i w:val="0"/>
                <w:iCs w:val="0"/>
                <w:caps w:val="0"/>
                <w:color w:val="000000"/>
                <w:spacing w:val="0"/>
                <w:sz w:val="24"/>
                <w:szCs w:val="24"/>
                <w:shd w:val="clear" w:fill="FFFFFF"/>
              </w:rPr>
            </w:pPr>
            <w:r>
              <w:rPr>
                <w:rFonts w:hint="eastAsia" w:ascii="微软雅黑" w:hAnsi="微软雅黑" w:eastAsia="微软雅黑" w:cs="微软雅黑"/>
                <w:i w:val="0"/>
                <w:iCs w:val="0"/>
                <w:caps w:val="0"/>
                <w:color w:val="000000"/>
                <w:spacing w:val="0"/>
                <w:sz w:val="24"/>
                <w:szCs w:val="24"/>
                <w:shd w:val="clear" w:fill="FFFFFF"/>
              </w:rPr>
              <w:t>İzmir Büyükşehir Belediye Başkanı Dr. Cemil Tugay’ın öncülüğünde başlatılan 2025-2029 Stratejik Planı ile ilgili çalışmalar tüm hızıyla sürüyor. İzmir’in planlanması ve kentin geleceğine dair bir vizyon ortaya konulması amacıyla başlatılan çalışmalar kapsamında Büyükşehir Belediyesi’nin bürokratları, İZPA, İZSU ve ESHOT yetkilileri, belediye şirketlerinin genel müdürleri, koordinatörleri bir araya geldi.</w:t>
            </w:r>
          </w:p>
          <w:p w14:paraId="065DF25C">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i w:val="0"/>
                <w:iCs w:val="0"/>
                <w:caps w:val="0"/>
                <w:color w:val="000000"/>
                <w:spacing w:val="0"/>
                <w:sz w:val="24"/>
                <w:szCs w:val="24"/>
                <w:shd w:val="clear" w:fill="FFFFFF"/>
              </w:rPr>
            </w:pPr>
            <w:r>
              <w:rPr>
                <w:rFonts w:hint="eastAsia" w:ascii="微软雅黑" w:hAnsi="微软雅黑" w:eastAsia="微软雅黑" w:cs="微软雅黑"/>
                <w:i w:val="0"/>
                <w:iCs w:val="0"/>
                <w:caps w:val="0"/>
                <w:color w:val="000000"/>
                <w:spacing w:val="0"/>
                <w:sz w:val="24"/>
                <w:szCs w:val="24"/>
                <w:shd w:val="clear" w:fill="FFFFFF"/>
              </w:rPr>
              <w:t>İzmir Büyükşehir Belediyesi Genel Sekreteri Barış Karcı, İzmir Planlama Ajansı (İZPA) Başkanı Prof. Dr. Koray Velibeyoğlu, İzmir Büyükşehir Belediyesi Strateji Geliştirme Dairesi Başkanı Asuman Türkmen Meral ve İZPA Bilim Kurulu Üyesi Prof. Dr. Renan Funda Barbaros’un katıldığı toplantıda 2025-2029 Stratejik Planı’nın merkezinde yer alan yeni nesil belediyecilik ile çoklu krizlerle mücadeleye olanak sağlayan, sosyal ve ekolojik bir sistemin İzmir’de nasıl kurulabileceğine dair sunumlar yapıldı.</w:t>
            </w:r>
          </w:p>
          <w:p w14:paraId="4F2D7A84">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i w:val="0"/>
                <w:iCs w:val="0"/>
                <w:caps w:val="0"/>
                <w:color w:val="000000"/>
                <w:spacing w:val="0"/>
                <w:sz w:val="24"/>
                <w:szCs w:val="24"/>
                <w:shd w:val="clear" w:fill="FFFFFF"/>
                <w:lang w:val="en-US" w:eastAsia="zh-CN"/>
              </w:rPr>
            </w:pPr>
            <w:r>
              <w:rPr>
                <w:rFonts w:hint="eastAsia" w:ascii="微软雅黑" w:hAnsi="微软雅黑" w:eastAsia="微软雅黑" w:cs="微软雅黑"/>
                <w:i w:val="0"/>
                <w:iCs w:val="0"/>
                <w:caps w:val="0"/>
                <w:color w:val="000000"/>
                <w:spacing w:val="0"/>
                <w:sz w:val="24"/>
                <w:szCs w:val="24"/>
                <w:shd w:val="clear" w:fill="FFFFFF"/>
              </w:rPr>
              <w:t>Başkan Tugay’ın Karşıyaka’da bir örneğini başlattığı, veri ve bilime dayalı katılımcı, sosyal ve ekolojik bir yol haritası olarak görülen modelin İzmir Büyükşehir Belediyesi, bağlı şirketler, ESHOT ve İZSU’nun tüm çalışmaları için anahtar sistemlerden biri olması hedefl</w:t>
            </w:r>
            <w:r>
              <w:rPr>
                <w:rFonts w:hint="eastAsia" w:ascii="微软雅黑" w:hAnsi="微软雅黑" w:eastAsia="微软雅黑" w:cs="微软雅黑"/>
                <w:i w:val="0"/>
                <w:iCs w:val="0"/>
                <w:caps w:val="0"/>
                <w:color w:val="000000"/>
                <w:spacing w:val="0"/>
                <w:sz w:val="24"/>
                <w:szCs w:val="24"/>
                <w:shd w:val="clear" w:fill="FFFFFF"/>
                <w:lang w:val="en-US" w:eastAsia="zh-CN"/>
              </w:rPr>
              <w:t xml:space="preserve">eniyor. Temelde ise ekolojik olarak </w:t>
            </w:r>
            <w:r>
              <w:rPr>
                <w:rFonts w:hint="eastAsia" w:ascii="微软雅黑" w:hAnsi="微软雅黑" w:eastAsia="微软雅黑" w:cs="微软雅黑"/>
                <w:i w:val="0"/>
                <w:iCs w:val="0"/>
                <w:caps w:val="0"/>
                <w:color w:val="000000"/>
                <w:spacing w:val="0"/>
                <w:sz w:val="24"/>
                <w:szCs w:val="24"/>
                <w:shd w:val="clear" w:fill="FFFFFF"/>
              </w:rPr>
              <w:t>güvenli, sosyal olarak adil ve dirençli bir</w:t>
            </w:r>
            <w:r>
              <w:rPr>
                <w:rFonts w:hint="eastAsia" w:ascii="微软雅黑" w:hAnsi="微软雅黑" w:eastAsia="微软雅黑" w:cs="微软雅黑"/>
                <w:i w:val="0"/>
                <w:iCs w:val="0"/>
                <w:caps w:val="0"/>
                <w:color w:val="000000"/>
                <w:spacing w:val="0"/>
                <w:sz w:val="24"/>
                <w:szCs w:val="24"/>
                <w:shd w:val="clear" w:fill="FFFFFF"/>
                <w:lang w:val="en-US" w:eastAsia="zh-CN"/>
              </w:rPr>
              <w:t xml:space="preserve"> kent yaratmak amaclaniyor</w:t>
            </w:r>
          </w:p>
          <w:p w14:paraId="0DF9CB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vertAlign w:val="baseline"/>
              </w:rPr>
              <w:t>“Tarihi öneme sahip”</w:t>
            </w:r>
          </w:p>
          <w:p w14:paraId="7E69DF1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shd w:val="clear" w:fill="FFFFFF"/>
              </w:rPr>
            </w:pPr>
            <w:r>
              <w:rPr>
                <w:rFonts w:hint="eastAsia" w:ascii="微软雅黑" w:hAnsi="微软雅黑" w:eastAsia="微软雅黑" w:cs="微软雅黑"/>
                <w:i w:val="0"/>
                <w:iCs w:val="0"/>
                <w:caps w:val="0"/>
                <w:color w:val="000000"/>
                <w:spacing w:val="0"/>
                <w:sz w:val="24"/>
                <w:szCs w:val="24"/>
                <w:shd w:val="clear" w:fill="FFFFFF"/>
                <w:vertAlign w:val="baseline"/>
              </w:rPr>
              <w:t>Sürecin kendisinin tarihi bir öneme sahip olduğunu belirten İzmir Planlama Ajansı (İZPA) Başkanı Prof. Dr. Koray Velibeyoğlu, “Bu dönem Büyükşehir</w:t>
            </w:r>
            <w:r>
              <w:rPr>
                <w:rFonts w:hint="eastAsia" w:ascii="微软雅黑" w:hAnsi="微软雅黑" w:eastAsia="微软雅黑" w:cs="微软雅黑"/>
                <w:i w:val="0"/>
                <w:iCs w:val="0"/>
                <w:caps w:val="0"/>
                <w:color w:val="000000"/>
                <w:spacing w:val="0"/>
                <w:sz w:val="24"/>
                <w:szCs w:val="24"/>
                <w:shd w:val="clear" w:fill="FFFFFF"/>
              </w:rPr>
              <w:t>Belediyesi, İZSU, ESHOT ve belediye iştiraklerinin ortak ilke ve hedeflerle hareket edeceği bir dönem olacak. Çoklu krizlerle baş etmek için kentin tekil sorunlarıyla toplumun ve doğanın genel işleyişi arasında bağlantı kuracak bir düşünme şekli gerekiyor” dedi.</w:t>
            </w:r>
          </w:p>
          <w:p w14:paraId="7B2E48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vertAlign w:val="baseline"/>
              </w:rPr>
              <w:t>“Ezber bozan uygulamalar yapmalıyız”</w:t>
            </w:r>
          </w:p>
          <w:p w14:paraId="06159AB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vertAlign w:val="baseline"/>
              </w:rPr>
              <w:t>Stratejik plan çalışmaları kapsamında daha önce İZPA Bilim Kurulu Üyesi Prof. Dr. Fikret Adaman tarafından sunulan yeni nesil belediyeciliğin bir süreç olduğuna değinen Velibeyoğlu, “Gelecek öngörünüzün olması gerekiyor. ‘Nereye gidiyoruz? sorusuna dair 30 yıllık, 50 yıllık perspektifinizin olması lazım. İlke ve amaçlarda ortaklaşmamız gerekiyor. İyi ve en iyi uygulamaların, daha önce denenmiş, iyi olduğuna kanaat getirilmiş uygulamaların devam ettirilmesi önemli ancak çoklu krizler çağında yol alabilmek için ezber bozan uygulamaları da hayata geçirmeliyiz” dedi.</w:t>
            </w:r>
          </w:p>
          <w:p w14:paraId="407C477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vertAlign w:val="baseline"/>
              </w:rPr>
              <w:t>İzmir’in 50 yılı planlanacak</w:t>
            </w:r>
          </w:p>
          <w:p w14:paraId="1D84D0D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vertAlign w:val="baseline"/>
              </w:rPr>
              <w:t>Velibeyoğlu ayrıca, “Kısa vadede hedefimiz 2025-2029 Stratejik Planı’nın iyi şekilde yapılmasıdır. Orta vadede 2054 yılını baz aldık. Sektörel ve mekansal planlarımızın ufkunu oluşturmamız gerekiyor. Uzun vadede ise biraz hayal kurmak gerekiyor. Dünyadaki gidişata bakacağız, 50 yıl sonra İzmir şu durumda olabilir diyeceğiz. Tabii 50 yıl içindeki 5 yıllık ilerlemeyi de konuşmak istiyoruz. Bakış açımız bu” diye konuştu.</w:t>
            </w:r>
          </w:p>
          <w:p w14:paraId="373BF2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vertAlign w:val="baseline"/>
              </w:rPr>
              <w:t>“Gezegenin bir parçası olduğumuz bilinciyle hareket edeceğiz”</w:t>
            </w:r>
          </w:p>
          <w:p w14:paraId="722690F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vertAlign w:val="baseline"/>
              </w:rPr>
              <w:t>İnsan refahı için bir pusula sunulmasını amaçlayan İzmir Gevrek Modeli hakkında bilgilendirme yapan Prof. Dr. Renan Funda Barbaros, Büyükşehir’e bağlı şirketlerin faaliyetlerini yeni sisteme nasıl entegre edebileceklerinden bahsetti. Prof. Dr. Barbaros, “Planlamada 30, vizyonda 50 yıllık bir perspektif ortaya konuyor. Bu İzmir için çok önemli. Bizden sonra gelecek kuşaklara yeni yollar açmaya yönelik bir çaba bu. Modelin iş dünyasına yaygınlaştırılmasında Büyükşehir iştiraklerinin öncü rol alacağına inanıyorum. Yeni fikirler, yeni yollar kentin diğer alanındaki iş dünyasına, şirketlerine örnek olacak diye düşünüyorum. Daha iyi bir dünya, ülke, İzmir için yeni bir zihniyet istiyoruz” dedi.</w:t>
            </w:r>
          </w:p>
          <w:p w14:paraId="65F9A1D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shd w:val="clear" w:fill="FFFFFF"/>
              </w:rPr>
            </w:pPr>
            <w:r>
              <w:rPr>
                <w:rFonts w:hint="eastAsia" w:ascii="微软雅黑" w:hAnsi="微软雅黑" w:eastAsia="微软雅黑" w:cs="微软雅黑"/>
                <w:i w:val="0"/>
                <w:iCs w:val="0"/>
                <w:caps w:val="0"/>
                <w:color w:val="000000"/>
                <w:spacing w:val="0"/>
                <w:sz w:val="24"/>
                <w:szCs w:val="24"/>
                <w:shd w:val="clear" w:fill="FFFFFF"/>
              </w:rPr>
              <w:t>Yeni nesil belediyecilik ve İzmir’de uygulanacak bu döngüsel ekonomi modeli kapsamında “al-yap-kullan-dönüştür” anlayışının öne çıkacağını ve hiçbir şeyin atık olarak görülmeyeceğini belirten Barbaros “Gezegenin bir parçası olduğumuz bilinciyle hareket edeceğiz. Çoklu krizlerin önüne geçmek için daha radikal bir şeyler yapmamız lazım. Daha iyi örnekleri oluşturmamız gerekiyor” ifadelerini kullandı.</w:t>
            </w:r>
          </w:p>
          <w:p w14:paraId="2A9E19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vertAlign w:val="baseline"/>
              </w:rPr>
              <w:t>“Fark yaratmak lazım”</w:t>
            </w:r>
          </w:p>
          <w:p w14:paraId="57FBAB0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vertAlign w:val="baseline"/>
              </w:rPr>
              <w:t>Toplantının kapanışında konuşan İzmir Büyükşehir Belediyesi Genel Sekreteri Barış Karcı ise, yeni nesil belediyeciliğin eskiyi ötelemediğini tam tersine sahip çıktığını belirterek, “Bakış açısını değiştirmek ve fark yaratmak lazım. Bu kurumda ve kentte bir şeyleri değiştirecek enerji var. Beklenti var. Desteği başkanımız da sağlıyor” diye konuştu.</w:t>
            </w:r>
          </w:p>
          <w:p w14:paraId="230DCEE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vertAlign w:val="baseline"/>
              </w:rPr>
              <w:t>Karşıyaka’dan İzmir’e</w:t>
            </w:r>
          </w:p>
          <w:p w14:paraId="33C331E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vertAlign w:val="baseline"/>
              </w:rPr>
              <w:t>İzmir Büyükşehir Belediye Başkanı Dr. Cemil Tugay’ın Karşıyaka Belediye Başkanı olduğu dönemde Türkiye’de ilk kez başlatılan model, Gevrek Ekonomisi Aksiyon Laboratuvarı ile İzmir’e yayılıyor. Model, çoklu krizlerle mücadele etmek için veriye, bilime ve katılımcılığa dayalı bir yol haritası olarak görülüyor. Başkan Tugay o dönem görev yaptığı ilçede modeli tanıtırken “can simidi” benzetmesini yapmıştı. Tugay ayrıca, “Ekolojik dengenin bozulmasında en büyük etken biziz. Her geçen yıl yaz ve kış ayları arasındaki uçlara gidiş, dengesiz atmosfer olayları, toprağın canlılığını yitirmesi, çevremizdeki doğal bitki örtüsünün değişmesinin nedeni biziz, çözümü de biz bulmak zorundayız” ifadelerini kullanmıştı</w:t>
            </w:r>
          </w:p>
          <w:p w14:paraId="39B132F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center"/>
              <w:textAlignment w:val="baseline"/>
              <w:rPr>
                <w:rFonts w:hint="eastAsia" w:ascii="微软雅黑" w:hAnsi="微软雅黑" w:eastAsia="微软雅黑" w:cs="微软雅黑"/>
                <w:i w:val="0"/>
                <w:iCs w:val="0"/>
                <w:caps w:val="0"/>
                <w:color w:val="000000"/>
                <w:spacing w:val="0"/>
                <w:sz w:val="24"/>
                <w:szCs w:val="24"/>
                <w:shd w:val="clear" w:fill="FFFFFF"/>
                <w:lang w:val="en-US" w:eastAsia="zh-CN"/>
              </w:rPr>
            </w:pPr>
          </w:p>
        </w:tc>
      </w:tr>
      <w:tr w14:paraId="5082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2D6377A">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中文翻译</w:t>
            </w:r>
          </w:p>
        </w:tc>
        <w:tc>
          <w:tcPr>
            <w:tcW w:w="6350" w:type="dxa"/>
            <w:tcMar>
              <w:top w:w="90" w:type="dxa"/>
              <w:left w:w="100" w:type="dxa"/>
              <w:bottom w:w="90" w:type="dxa"/>
              <w:right w:w="100" w:type="dxa"/>
            </w:tcMar>
            <w:vAlign w:val="center"/>
          </w:tcPr>
          <w:p w14:paraId="244B4A98">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i w:val="0"/>
                <w:iCs w:val="0"/>
                <w:caps w:val="0"/>
                <w:color w:val="000000"/>
                <w:spacing w:val="0"/>
                <w:sz w:val="24"/>
                <w:szCs w:val="24"/>
                <w:shd w:val="clear" w:fill="FFFFFF"/>
              </w:rPr>
            </w:pPr>
            <w:r>
              <w:rPr>
                <w:rFonts w:hint="eastAsia" w:ascii="微软雅黑" w:hAnsi="微软雅黑" w:eastAsia="微软雅黑" w:cs="微软雅黑"/>
                <w:i w:val="0"/>
                <w:iCs w:val="0"/>
                <w:caps w:val="0"/>
                <w:color w:val="000000"/>
                <w:spacing w:val="0"/>
                <w:sz w:val="24"/>
                <w:szCs w:val="24"/>
                <w:shd w:val="clear" w:fill="FFFFFF"/>
              </w:rPr>
              <w:t>伊兹密尔大都会市长 Dr. 在杰米尔·图盖的领导下，2025-2029战略规划研究仍在进行中。在计划研究框架内，旨在使伊兹密尔大都市市政当局能够与伊兹密尔州立大学、ESHOT及其子公司建立共同基础，由卡尔希亚卡市长图盖发起的“清晰模式”确定了社会和生态边界，凯特·罗沃斯的循环经济方案也被调整到伊兹密尔。该系统被视为基于数据和科学、参与式的路线图，旨在应对多重危机，并将推广到整个城市。</w:t>
            </w:r>
          </w:p>
          <w:p w14:paraId="04580F1F">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i w:val="0"/>
                <w:iCs w:val="0"/>
                <w:caps w:val="0"/>
                <w:color w:val="000000"/>
                <w:spacing w:val="0"/>
                <w:sz w:val="24"/>
                <w:szCs w:val="24"/>
                <w:shd w:val="clear" w:fill="FFFFFF"/>
              </w:rPr>
            </w:pPr>
            <w:r>
              <w:rPr>
                <w:rFonts w:hint="eastAsia" w:ascii="微软雅黑" w:hAnsi="微软雅黑" w:eastAsia="微软雅黑" w:cs="微软雅黑"/>
                <w:i w:val="0"/>
                <w:iCs w:val="0"/>
                <w:caps w:val="0"/>
                <w:color w:val="000000"/>
                <w:spacing w:val="0"/>
                <w:sz w:val="24"/>
                <w:szCs w:val="24"/>
                <w:shd w:val="clear" w:fill="FFFFFF"/>
              </w:rPr>
              <w:t>伊兹密尔大都会市长Dr. 在Cemil Tugay领导下启动的2025-2029战略计划工作正全速推进。在伊兹密尔规划和城市未来愿景的研究范围内，大都会市政厅、İZPA、İZSU和ESHOT官员、总经理及市政公司的协调员齐聚一堂。</w:t>
            </w:r>
          </w:p>
          <w:p w14:paraId="475867C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vertAlign w:val="baseline"/>
              </w:rPr>
              <w:t>在伊兹密尔大都市市政秘书长巴里什·卡尔奇、伊兹密尔规划局（İZPA）主席科雷·韦利贝约卢教授博士、伊兹密尔大都市市政战略发展部负责人阿苏曼·图尔克曼·梅拉尔以及伊兹密尔科学委员会成员雷南·丰达·巴巴罗斯教授博士的会议上，介绍了如何在2025-2029战略规划核心的新一代市政主义下，在伊兹密尔建立一个能够应对多重危机的社会和生态系统体系。</w:t>
            </w:r>
          </w:p>
          <w:p w14:paraId="2A976F9C">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i w:val="0"/>
                <w:iCs w:val="0"/>
                <w:caps w:val="0"/>
                <w:color w:val="000000"/>
                <w:spacing w:val="0"/>
                <w:sz w:val="24"/>
                <w:szCs w:val="24"/>
                <w:shd w:val="clear" w:fill="FFFFFF"/>
              </w:rPr>
            </w:pPr>
            <w:r>
              <w:rPr>
                <w:rFonts w:hint="eastAsia" w:ascii="微软雅黑" w:hAnsi="微软雅黑" w:eastAsia="微软雅黑" w:cs="微软雅黑"/>
                <w:i w:val="0"/>
                <w:iCs w:val="0"/>
                <w:caps w:val="0"/>
                <w:color w:val="000000"/>
                <w:spacing w:val="0"/>
                <w:sz w:val="24"/>
                <w:szCs w:val="24"/>
                <w:shd w:val="clear" w:fill="FFFFFF"/>
              </w:rPr>
              <w:t>该模式被视为基于数据和科学的参与式社会和生态路线图，这一范例由图盖市长在卡尔希亚卡开创，旨在成为伊兹密尔大都会市政当局及其附属公司、ESHOT和İZSU所有工作的关键系统之一。基本上，目标是打造一个生态安全、社会公正且具韧性的城市。</w:t>
            </w:r>
          </w:p>
          <w:p w14:paraId="3788A9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vertAlign w:val="baseline"/>
              </w:rPr>
              <w:t>历史重要性”</w:t>
            </w:r>
          </w:p>
          <w:p w14:paraId="2103BCD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shd w:val="clear" w:fill="FFFFFF"/>
                <w:vertAlign w:val="baseline"/>
                <w:lang w:val="en-US" w:eastAsia="zh-CN"/>
              </w:rPr>
            </w:pPr>
            <w:r>
              <w:rPr>
                <w:rFonts w:hint="eastAsia" w:ascii="微软雅黑" w:hAnsi="微软雅黑" w:eastAsia="微软雅黑" w:cs="微软雅黑"/>
                <w:i w:val="0"/>
                <w:iCs w:val="0"/>
                <w:caps w:val="0"/>
                <w:color w:val="000000"/>
                <w:spacing w:val="0"/>
                <w:sz w:val="24"/>
                <w:szCs w:val="24"/>
                <w:shd w:val="clear" w:fill="FFFFFF"/>
                <w:vertAlign w:val="baseline"/>
              </w:rPr>
              <w:t>伊兹密尔规划局（İZPA）主席科雷·韦利贝约卢教授博士表示，这一过程具有历史意义，他说：“这一时期将是大都市市政厅、İZSU、ESHOT及其市政附属机构以共同原则和目标行动的时期。为了应对多重危机，需要一种能够将城市个体问题与社会和自然整体运作联系起来的</w:t>
            </w:r>
            <w:r>
              <w:rPr>
                <w:rFonts w:hint="eastAsia" w:ascii="微软雅黑" w:hAnsi="微软雅黑" w:eastAsia="微软雅黑" w:cs="微软雅黑"/>
                <w:i w:val="0"/>
                <w:iCs w:val="0"/>
                <w:caps w:val="0"/>
                <w:color w:val="000000"/>
                <w:spacing w:val="0"/>
                <w:sz w:val="24"/>
                <w:szCs w:val="24"/>
                <w:shd w:val="clear" w:fill="FFFFFF"/>
                <w:vertAlign w:val="baseline"/>
                <w:lang w:val="en-US" w:eastAsia="zh-CN"/>
              </w:rPr>
              <w:t>思维方式</w:t>
            </w:r>
          </w:p>
          <w:p w14:paraId="297328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vertAlign w:val="baseline"/>
              </w:rPr>
              <w:t>“我们必须制定改变游戏规则的做法”</w:t>
            </w:r>
          </w:p>
          <w:p w14:paraId="016271B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vertAlign w:val="baseline"/>
              </w:rPr>
              <w:t>在战略规划研究的范围内，Velibeyoğlu提到，由İZPA科学委员会成员Fikret Adaman教授提出的新一代市政主义是一个过程，并表示：“你需要有未来的远见。我们要去哪儿？你需要有30年、50年的视角来看待这个问题。我们需要就原则和目标达成一致。继续保持良好且最佳的实践非常重要，这些做法是经过尝试并被认为良好的，但我们也必须实施颠覆性的做法，以便在多重危机时代前进。”</w:t>
            </w:r>
          </w:p>
          <w:p w14:paraId="24E7D1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vertAlign w:val="baseline"/>
              </w:rPr>
              <w:t>伊兹密尔将规划50周年</w:t>
            </w:r>
          </w:p>
          <w:p w14:paraId="7B7F73D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shd w:val="clear" w:fill="FFFFFF"/>
                <w:vertAlign w:val="baseline"/>
                <w:lang w:val="en-US" w:eastAsia="zh-CN"/>
              </w:rPr>
            </w:pPr>
            <w:r>
              <w:rPr>
                <w:rFonts w:hint="eastAsia" w:ascii="微软雅黑" w:hAnsi="微软雅黑" w:eastAsia="微软雅黑" w:cs="微软雅黑"/>
                <w:i w:val="0"/>
                <w:iCs w:val="0"/>
                <w:caps w:val="0"/>
                <w:color w:val="000000"/>
                <w:spacing w:val="0"/>
                <w:sz w:val="24"/>
                <w:szCs w:val="24"/>
                <w:shd w:val="clear" w:fill="FFFFFF"/>
                <w:vertAlign w:val="baseline"/>
              </w:rPr>
              <w:t>Velibeyoğlu还表示：“我们短期目标是完善2025-2029年战略规划。中期来看，我们以2054年为基础。我们需要为行业和空间规划创造方向。从长远来看，需要稍微</w:t>
            </w:r>
            <w:r>
              <w:rPr>
                <w:rFonts w:hint="eastAsia" w:ascii="微软雅黑" w:hAnsi="微软雅黑" w:eastAsia="微软雅黑" w:cs="微软雅黑"/>
                <w:i w:val="0"/>
                <w:iCs w:val="0"/>
                <w:caps w:val="0"/>
                <w:color w:val="000000"/>
                <w:spacing w:val="0"/>
                <w:sz w:val="24"/>
                <w:szCs w:val="24"/>
                <w:shd w:val="clear" w:fill="FFFFFF"/>
                <w:vertAlign w:val="baseline"/>
                <w:lang w:val="en-US" w:eastAsia="zh-CN"/>
              </w:rPr>
              <w:t>做点梦想。我们将观察世界的进程，我们会说伊兹密尔可能在50年后仍处于这种境地。当然，我们也想谈谈50年后的5年进步。这是我们的观点，”他说。</w:t>
            </w:r>
          </w:p>
          <w:p w14:paraId="45A7B17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vertAlign w:val="baseline"/>
              </w:rPr>
              <w:t>“我们将以我们是地球一部分的意识行动”</w:t>
            </w:r>
          </w:p>
          <w:p w14:paraId="0DD9AEE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i w:val="0"/>
                <w:iCs w:val="0"/>
                <w:caps w:val="0"/>
                <w:color w:val="000000"/>
                <w:spacing w:val="0"/>
                <w:sz w:val="24"/>
                <w:szCs w:val="24"/>
                <w:shd w:val="clear" w:fill="FFFFFF"/>
                <w:vertAlign w:val="baseline"/>
              </w:rPr>
            </w:pPr>
            <w:r>
              <w:rPr>
                <w:rFonts w:hint="eastAsia" w:ascii="微软雅黑" w:hAnsi="微软雅黑" w:eastAsia="微软雅黑" w:cs="微软雅黑"/>
                <w:i w:val="0"/>
                <w:iCs w:val="0"/>
                <w:caps w:val="0"/>
                <w:color w:val="000000"/>
                <w:spacing w:val="0"/>
                <w:sz w:val="24"/>
                <w:szCs w:val="24"/>
                <w:shd w:val="clear" w:fill="FFFFFF"/>
                <w:vertAlign w:val="baseline"/>
              </w:rPr>
              <w:t>在介绍旨在为人类福祉提供指南针的伊兹密尔脆片模型时，雷南·丰达·巴巴罗斯教授博士介绍了隶属于大都会市政厅的公司如何将其业务整合进新系统。巴巴罗斯教授博士表示：“规划中提出30年视野，愿景中提出50年视角。这对伊兹密尔非常重要。这是一项为我们后代开辟新道路的努力。我相信大都会子公司将在向商业界推广这一模式中发挥领导作用。我认为新的想法、新道路将为商业世界和城市其他地区的公司树立榜样。我们想要一个更美好的世界，为国家和伊兹密尔创造新的心态。”</w:t>
            </w:r>
          </w:p>
          <w:p w14:paraId="09BD173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200" w:afterAutospacing="0" w:line="276" w:lineRule="auto"/>
              <w:ind w:left="0" w:firstLine="0"/>
              <w:jc w:val="both"/>
              <w:textAlignment w:val="baseline"/>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巴巴罗斯表示，“使用-使用-回收”的理解将</w:t>
            </w:r>
            <w:r>
              <w:rPr>
                <w:rFonts w:hint="eastAsia" w:ascii="微软雅黑" w:hAnsi="微软雅黑" w:eastAsia="微软雅黑" w:cs="微软雅黑"/>
                <w:i w:val="0"/>
                <w:iCs w:val="0"/>
                <w:caps w:val="0"/>
                <w:color w:val="000000"/>
                <w:spacing w:val="0"/>
                <w:sz w:val="24"/>
                <w:szCs w:val="24"/>
                <w:shd w:val="clear" w:fill="FFFFFF"/>
                <w:lang w:val="en-US" w:eastAsia="zh-CN"/>
              </w:rPr>
              <w:t>在伊兹密尔实施的循环经济模式中逐渐显现，且不会被视为浪费，他说：“我们将以我们是地球一部分的意识行动。我们需要擦去更激进的行动，防止多重危机。我们需要梳理更好的榜样。”</w:t>
            </w:r>
          </w:p>
        </w:tc>
      </w:tr>
      <w:tr w14:paraId="0FA3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712AEF2">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你的判断</w:t>
            </w:r>
          </w:p>
        </w:tc>
        <w:tc>
          <w:tcPr>
            <w:tcW w:w="6350" w:type="dxa"/>
            <w:tcMar>
              <w:top w:w="90" w:type="dxa"/>
              <w:left w:w="100" w:type="dxa"/>
              <w:bottom w:w="90" w:type="dxa"/>
              <w:right w:w="100" w:type="dxa"/>
            </w:tcMar>
            <w:vAlign w:val="center"/>
          </w:tcPr>
          <w:p w14:paraId="12CE4E70">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是否可用于论文：□核心文献  ☑辅助文献  □备用资料</w:t>
            </w:r>
            <w:r>
              <w:rPr>
                <w:rFonts w:hint="eastAsia" w:ascii="微软雅黑" w:hAnsi="微软雅黑" w:eastAsia="微软雅黑" w:cs="微软雅黑"/>
                <w:sz w:val="24"/>
                <w:szCs w:val="24"/>
                <w:lang w:eastAsia="zh-CN"/>
              </w:rPr>
              <w:br w:type="textWrapping"/>
            </w:r>
            <w:r>
              <w:rPr>
                <w:rFonts w:hint="eastAsia" w:ascii="微软雅黑" w:hAnsi="微软雅黑" w:eastAsia="微软雅黑" w:cs="微软雅黑"/>
                <w:sz w:val="24"/>
                <w:szCs w:val="24"/>
                <w:lang w:eastAsia="zh-CN"/>
              </w:rPr>
              <w:t>可信度：□高  ☑中  □低</w:t>
            </w:r>
          </w:p>
        </w:tc>
      </w:tr>
    </w:tbl>
    <w:p w14:paraId="5FD87C7B">
      <w:pPr>
        <w:rPr>
          <w:rFonts w:hint="eastAsia" w:ascii="微软雅黑" w:hAnsi="微软雅黑" w:eastAsia="微软雅黑" w:cs="微软雅黑"/>
          <w:b/>
          <w:color w:val="1F4E79"/>
          <w:sz w:val="24"/>
          <w:szCs w:val="24"/>
          <w:lang w:eastAsia="zh-CN"/>
        </w:rPr>
      </w:pPr>
      <w:r>
        <w:rPr>
          <w:rFonts w:hint="eastAsia" w:ascii="微软雅黑" w:hAnsi="微软雅黑" w:eastAsia="微软雅黑" w:cs="微软雅黑"/>
          <w:b/>
          <w:color w:val="1F4E79"/>
          <w:sz w:val="24"/>
          <w:szCs w:val="24"/>
          <w:lang w:eastAsia="zh-CN"/>
        </w:rPr>
        <w:br w:type="page"/>
      </w:r>
    </w:p>
    <w:p w14:paraId="154728A2">
      <w:pPr>
        <w:spacing w:before="120" w:after="60"/>
        <w:rPr>
          <w:rFonts w:hint="eastAsia" w:ascii="微软雅黑" w:hAnsi="微软雅黑" w:eastAsia="微软雅黑" w:cs="微软雅黑"/>
          <w:sz w:val="24"/>
          <w:szCs w:val="24"/>
          <w:lang w:val="en-US" w:eastAsia="zh-CN"/>
        </w:rPr>
      </w:pPr>
      <w:r>
        <w:rPr>
          <w:rFonts w:hint="eastAsia" w:ascii="微软雅黑" w:hAnsi="微软雅黑" w:eastAsia="微软雅黑" w:cs="微软雅黑"/>
          <w:b/>
          <w:color w:val="2E5496"/>
          <w:sz w:val="24"/>
          <w:szCs w:val="24"/>
        </w:rPr>
        <w:t xml:space="preserve">文献 </w:t>
      </w:r>
      <w:r>
        <w:rPr>
          <w:rFonts w:hint="eastAsia" w:ascii="微软雅黑" w:hAnsi="微软雅黑" w:cs="微软雅黑"/>
          <w:b/>
          <w:color w:val="2E5496"/>
          <w:sz w:val="24"/>
          <w:szCs w:val="24"/>
          <w:lang w:val="en-US" w:eastAsia="zh-CN"/>
        </w:rPr>
        <w:t>4</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814"/>
      </w:tblGrid>
      <w:tr w14:paraId="45558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191C48F">
            <w:pPr>
              <w:spacing w:after="0" w:line="240"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文献题目</w:t>
            </w:r>
          </w:p>
        </w:tc>
        <w:tc>
          <w:tcPr>
            <w:tcW w:w="6814" w:type="dxa"/>
            <w:tcMar>
              <w:top w:w="90" w:type="dxa"/>
              <w:left w:w="100" w:type="dxa"/>
              <w:bottom w:w="90" w:type="dxa"/>
              <w:right w:w="100" w:type="dxa"/>
            </w:tcMar>
            <w:vAlign w:val="center"/>
          </w:tcPr>
          <w:p w14:paraId="66FCD9A3">
            <w:pPr>
              <w:spacing w:after="0" w:line="240" w:lineRule="auto"/>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MESYUARAT PELARASAN PESERTA COP29, BAKU, AZERBAIJAN DAN GLOBAL DONUT DAY, IZMIR TURKIYE</w:t>
            </w:r>
          </w:p>
        </w:tc>
      </w:tr>
      <w:tr w14:paraId="5C87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04875C4">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作者/机构</w:t>
            </w:r>
          </w:p>
        </w:tc>
        <w:tc>
          <w:tcPr>
            <w:tcW w:w="6814" w:type="dxa"/>
            <w:tcMar>
              <w:top w:w="90" w:type="dxa"/>
              <w:left w:w="100" w:type="dxa"/>
              <w:bottom w:w="90" w:type="dxa"/>
              <w:right w:w="100" w:type="dxa"/>
            </w:tcMar>
            <w:vAlign w:val="center"/>
          </w:tcPr>
          <w:p w14:paraId="6C313E72">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default" w:ascii="微软雅黑" w:hAnsi="微软雅黑" w:eastAsia="微软雅黑" w:cs="微软雅黑"/>
                <w:sz w:val="24"/>
                <w:szCs w:val="24"/>
                <w:lang w:val="en-US"/>
              </w:rPr>
            </w:pPr>
            <w:r>
              <w:rPr>
                <w:rFonts w:hint="eastAsia" w:ascii="微软雅黑" w:hAnsi="微软雅黑" w:cs="微软雅黑"/>
                <w:color w:val="000000"/>
                <w:sz w:val="24"/>
                <w:szCs w:val="24"/>
                <w:lang w:val="en-US" w:eastAsia="zh-CN"/>
              </w:rPr>
              <w:t>DOUGHNUT ECONOMICS ACTION LAB</w:t>
            </w:r>
          </w:p>
        </w:tc>
      </w:tr>
      <w:tr w14:paraId="63AE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18E99D9">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来源类型</w:t>
            </w:r>
          </w:p>
        </w:tc>
        <w:tc>
          <w:tcPr>
            <w:tcW w:w="6814" w:type="dxa"/>
            <w:tcMar>
              <w:top w:w="90" w:type="dxa"/>
              <w:left w:w="100" w:type="dxa"/>
              <w:bottom w:w="90" w:type="dxa"/>
              <w:right w:w="100" w:type="dxa"/>
            </w:tcMar>
            <w:vAlign w:val="center"/>
          </w:tcPr>
          <w:p w14:paraId="16FE1D8F">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default" w:ascii="微软雅黑" w:hAnsi="微软雅黑" w:eastAsia="微软雅黑" w:cs="微软雅黑"/>
                <w:sz w:val="24"/>
                <w:szCs w:val="24"/>
                <w:lang w:val="en-US" w:eastAsia="zh-CN"/>
              </w:rPr>
            </w:pPr>
            <w:r>
              <w:rPr>
                <w:rFonts w:hint="eastAsia" w:ascii="微软雅黑" w:hAnsi="微软雅黑" w:cs="微软雅黑"/>
                <w:sz w:val="24"/>
                <w:szCs w:val="24"/>
                <w:lang w:val="en-US" w:eastAsia="zh-CN"/>
              </w:rPr>
              <w:t>官方报告</w:t>
            </w:r>
          </w:p>
        </w:tc>
      </w:tr>
      <w:tr w14:paraId="68E1A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FC4A19A">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链接或数据库</w:t>
            </w:r>
          </w:p>
        </w:tc>
        <w:tc>
          <w:tcPr>
            <w:tcW w:w="6814" w:type="dxa"/>
            <w:tcMar>
              <w:top w:w="90" w:type="dxa"/>
              <w:left w:w="100" w:type="dxa"/>
              <w:bottom w:w="90" w:type="dxa"/>
              <w:right w:w="100" w:type="dxa"/>
            </w:tcMar>
            <w:vAlign w:val="center"/>
          </w:tcPr>
          <w:p w14:paraId="50E2147B">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default" w:ascii="微软雅黑" w:hAnsi="微软雅黑" w:cs="微软雅黑"/>
                <w:sz w:val="24"/>
                <w:szCs w:val="24"/>
                <w:lang w:val="en-US" w:eastAsia="zh-CN"/>
              </w:rPr>
            </w:pPr>
            <w:r>
              <w:rPr>
                <w:rFonts w:hint="eastAsia" w:ascii="微软雅黑" w:hAnsi="微软雅黑" w:cs="微软雅黑"/>
                <w:sz w:val="24"/>
                <w:szCs w:val="24"/>
                <w:lang w:val="en-US" w:eastAsia="zh-CN"/>
              </w:rPr>
              <w:fldChar w:fldCharType="begin"/>
            </w:r>
            <w:r>
              <w:rPr>
                <w:rFonts w:hint="eastAsia" w:ascii="微软雅黑" w:hAnsi="微软雅黑" w:cs="微软雅黑"/>
                <w:sz w:val="24"/>
                <w:szCs w:val="24"/>
                <w:lang w:val="en-US" w:eastAsia="zh-CN"/>
              </w:rPr>
              <w:instrText xml:space="preserve"> HYPERLINK "https://www.mbi.gov.my/images/donutipoh/MESYUA" </w:instrText>
            </w:r>
            <w:r>
              <w:rPr>
                <w:rFonts w:hint="eastAsia" w:ascii="微软雅黑" w:hAnsi="微软雅黑" w:cs="微软雅黑"/>
                <w:sz w:val="24"/>
                <w:szCs w:val="24"/>
                <w:lang w:val="en-US" w:eastAsia="zh-CN"/>
              </w:rPr>
              <w:fldChar w:fldCharType="separate"/>
            </w:r>
            <w:r>
              <w:rPr>
                <w:rStyle w:val="136"/>
                <w:rFonts w:hint="eastAsia" w:ascii="微软雅黑" w:hAnsi="微软雅黑" w:cs="微软雅黑"/>
                <w:sz w:val="24"/>
                <w:szCs w:val="24"/>
                <w:lang w:val="en-US" w:eastAsia="zh-CN"/>
              </w:rPr>
              <w:t>https://www.mbi.gov.my/images/donutipoh/MESYUA</w:t>
            </w:r>
            <w:r>
              <w:rPr>
                <w:rFonts w:hint="eastAsia" w:ascii="微软雅黑" w:hAnsi="微软雅黑" w:cs="微软雅黑"/>
                <w:sz w:val="24"/>
                <w:szCs w:val="24"/>
                <w:lang w:val="en-US" w:eastAsia="zh-CN"/>
              </w:rPr>
              <w:fldChar w:fldCharType="end"/>
            </w:r>
            <w:r>
              <w:rPr>
                <w:rFonts w:hint="eastAsia" w:ascii="微软雅黑" w:hAnsi="微软雅黑" w:cs="微软雅黑"/>
                <w:sz w:val="24"/>
                <w:szCs w:val="24"/>
                <w:lang w:val="en-US" w:eastAsia="zh-CN"/>
              </w:rPr>
              <w:t>RAT_PELARASAN_COP29_DAN_GLOBAL_DONUT_DAY.pdf</w:t>
            </w:r>
          </w:p>
        </w:tc>
      </w:tr>
      <w:tr w14:paraId="34F1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D3255C8">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发布时间</w:t>
            </w:r>
          </w:p>
        </w:tc>
        <w:tc>
          <w:tcPr>
            <w:tcW w:w="6814" w:type="dxa"/>
            <w:tcMar>
              <w:top w:w="90" w:type="dxa"/>
              <w:left w:w="100" w:type="dxa"/>
              <w:bottom w:w="90" w:type="dxa"/>
              <w:right w:w="100" w:type="dxa"/>
            </w:tcMar>
            <w:vAlign w:val="center"/>
          </w:tcPr>
          <w:p w14:paraId="54449C7D">
            <w:pPr>
              <w:keepNext w:val="0"/>
              <w:keepLines w:val="0"/>
              <w:pageBreakBefore w:val="0"/>
              <w:widowControl/>
              <w:kinsoku/>
              <w:wordWrap/>
              <w:overflowPunct/>
              <w:topLinePunct w:val="0"/>
              <w:autoSpaceDE/>
              <w:autoSpaceDN/>
              <w:bidi w:val="0"/>
              <w:adjustRightInd/>
              <w:snapToGrid/>
              <w:spacing w:after="200" w:afterAutospacing="0" w:line="276" w:lineRule="auto"/>
              <w:jc w:val="center"/>
              <w:rPr>
                <w:rFonts w:hint="default" w:ascii="微软雅黑" w:hAnsi="微软雅黑" w:eastAsia="微软雅黑" w:cs="微软雅黑"/>
                <w:sz w:val="24"/>
                <w:szCs w:val="24"/>
                <w:lang w:val="en-US" w:eastAsia="zh-CN"/>
              </w:rPr>
            </w:pPr>
            <w:r>
              <w:rPr>
                <w:rFonts w:hint="eastAsia" w:ascii="微软雅黑" w:hAnsi="微软雅黑" w:cs="微软雅黑"/>
                <w:sz w:val="24"/>
                <w:szCs w:val="24"/>
                <w:lang w:val="en-US" w:eastAsia="zh-CN"/>
              </w:rPr>
              <w:t>2024.11.11</w:t>
            </w:r>
          </w:p>
        </w:tc>
      </w:tr>
      <w:tr w14:paraId="0B98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9971AEF">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为什么值得收集</w:t>
            </w:r>
          </w:p>
        </w:tc>
        <w:tc>
          <w:tcPr>
            <w:tcW w:w="6814" w:type="dxa"/>
            <w:tcMar>
              <w:top w:w="90" w:type="dxa"/>
              <w:left w:w="100" w:type="dxa"/>
              <w:bottom w:w="90" w:type="dxa"/>
              <w:right w:w="100" w:type="dxa"/>
            </w:tcMar>
            <w:vAlign w:val="center"/>
          </w:tcPr>
          <w:p w14:paraId="5D119303">
            <w:pPr>
              <w:keepNext w:val="0"/>
              <w:keepLines w:val="0"/>
              <w:pageBreakBefore w:val="0"/>
              <w:widowControl/>
              <w:kinsoku/>
              <w:wordWrap/>
              <w:overflowPunct/>
              <w:topLinePunct w:val="0"/>
              <w:autoSpaceDE/>
              <w:autoSpaceDN/>
              <w:bidi w:val="0"/>
              <w:adjustRightInd/>
              <w:snapToGrid/>
              <w:spacing w:after="200" w:afterAutospacing="0" w:line="276" w:lineRule="auto"/>
              <w:jc w:val="left"/>
              <w:rPr>
                <w:rFonts w:hint="eastAsia" w:ascii="微软雅黑" w:hAnsi="微软雅黑" w:eastAsia="微软雅黑" w:cs="微软雅黑"/>
                <w:sz w:val="24"/>
                <w:szCs w:val="24"/>
                <w:lang w:eastAsia="zh-CN"/>
              </w:rPr>
            </w:pPr>
            <w:r>
              <w:rPr>
                <w:rFonts w:hint="eastAsia" w:ascii="微软雅黑" w:hAnsi="微软雅黑" w:eastAsia="微软雅黑" w:cs="微软雅黑"/>
                <w:b w:val="0"/>
                <w:bCs w:val="0"/>
                <w:sz w:val="24"/>
                <w:szCs w:val="24"/>
              </w:rPr>
              <w:t>本文献是</w:t>
            </w:r>
            <w:r>
              <w:rPr>
                <w:rStyle w:val="134"/>
                <w:rFonts w:hint="eastAsia" w:ascii="微软雅黑" w:hAnsi="微软雅黑" w:eastAsia="微软雅黑" w:cs="微软雅黑"/>
                <w:b w:val="0"/>
                <w:bCs w:val="0"/>
                <w:sz w:val="24"/>
                <w:szCs w:val="24"/>
              </w:rPr>
              <w:t>伊兹密尔 Gevrek 甜甜圈经济模式</w:t>
            </w:r>
            <w:r>
              <w:rPr>
                <w:rFonts w:hint="eastAsia" w:ascii="微软雅黑" w:hAnsi="微软雅黑" w:eastAsia="微软雅黑" w:cs="微软雅黑"/>
                <w:b w:val="0"/>
                <w:bCs w:val="0"/>
                <w:sz w:val="24"/>
                <w:szCs w:val="24"/>
              </w:rPr>
              <w:t>的官方一手资料，完整呈现其理念、目标、五年路线与实施体系，并与 COP29 全球气候治理直接关联，兼具权威性、完整性</w:t>
            </w:r>
          </w:p>
        </w:tc>
      </w:tr>
      <w:tr w14:paraId="1AC3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163B94C">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原文</w:t>
            </w:r>
          </w:p>
        </w:tc>
        <w:tc>
          <w:tcPr>
            <w:tcW w:w="6814" w:type="dxa"/>
            <w:tcMar>
              <w:top w:w="90" w:type="dxa"/>
              <w:left w:w="100" w:type="dxa"/>
              <w:bottom w:w="90" w:type="dxa"/>
              <w:right w:w="100" w:type="dxa"/>
            </w:tcMar>
            <w:vAlign w:val="center"/>
          </w:tcPr>
          <w:p w14:paraId="2B1D7770">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The </w:t>
            </w:r>
            <w:r>
              <w:rPr>
                <w:rFonts w:hint="eastAsia" w:ascii="微软雅黑" w:hAnsi="微软雅黑" w:eastAsia="微软雅黑" w:cs="微软雅黑"/>
                <w:b w:val="0"/>
                <w:bCs w:val="0"/>
                <w:i/>
                <w:iCs/>
                <w:color w:val="000000"/>
                <w:kern w:val="0"/>
                <w:sz w:val="24"/>
                <w:szCs w:val="24"/>
                <w:lang w:val="en-US" w:eastAsia="zh-CN" w:bidi="ar"/>
              </w:rPr>
              <w:t>Izmir Gevrek Model</w:t>
            </w:r>
            <w:r>
              <w:rPr>
                <w:rFonts w:hint="eastAsia" w:ascii="微软雅黑" w:hAnsi="微软雅黑" w:eastAsia="微软雅黑" w:cs="微软雅黑"/>
                <w:b w:val="0"/>
                <w:bCs w:val="0"/>
                <w:color w:val="000000"/>
                <w:kern w:val="0"/>
                <w:sz w:val="24"/>
                <w:szCs w:val="24"/>
                <w:lang w:val="en-US" w:eastAsia="zh-CN" w:bidi="ar"/>
              </w:rPr>
              <w:t xml:space="preserve">, inspired by Doughnut Economics, is an initiative by Izmir Municipality to create a sustainable, inclusive, </w:t>
            </w:r>
          </w:p>
          <w:p w14:paraId="3FAE31B8">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and ecologically balanced city. Named after the local pastry "Gevrek," the model represents the delicate balance between social and </w:t>
            </w:r>
          </w:p>
          <w:p w14:paraId="06211F0D">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ecological well-being. It seeks to keep Izmir within ecological limits (e.g., reducing carbon emissions) while meeting social needs </w:t>
            </w:r>
          </w:p>
          <w:p w14:paraId="56CA4197">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(e.g., improving quality of life and promoting social justice). </w:t>
            </w:r>
          </w:p>
          <w:p w14:paraId="24B4B139">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Key Objectives: </w:t>
            </w:r>
          </w:p>
          <w:p w14:paraId="4068F702">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1.Prevent exceeding ecological limits, with a goal for Izmir to become a zero-carbon city. </w:t>
            </w:r>
          </w:p>
          <w:p w14:paraId="6BCDE780">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2.Strengthen the social foundation by enhancing quality of life and advancing social justice. </w:t>
            </w:r>
          </w:p>
          <w:p w14:paraId="6EB7A98E">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Roadmap: </w:t>
            </w:r>
          </w:p>
          <w:p w14:paraId="20E71B70">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 </w:t>
            </w:r>
          </w:p>
          <w:p w14:paraId="27232DC6">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Izmir’s five-year strategic plan (2025-2029) is driven by two core questions: </w:t>
            </w:r>
          </w:p>
          <w:p w14:paraId="29BCA75B">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 </w:t>
            </w:r>
          </w:p>
          <w:p w14:paraId="68A81139">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How can Izmir protect its environment in urban development? </w:t>
            </w:r>
          </w:p>
          <w:p w14:paraId="4D590206">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 How can Izmir ensure a high quality of life while respecting planetary boundaries? </w:t>
            </w:r>
          </w:p>
          <w:p w14:paraId="74A035FE">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To achieve this, the model follows seven key pathways, adapted from Doughnut Economics: </w:t>
            </w:r>
          </w:p>
          <w:p w14:paraId="0912F2C1">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1. Thriving City: Align local goals with global responsibilities to create a vibrant city. </w:t>
            </w:r>
          </w:p>
          <w:p w14:paraId="7F46C3F5">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2. Collaboration: Strengthen partnerships between the metropolitan municipality, district municipalities, and Aegean region </w:t>
            </w:r>
          </w:p>
          <w:p w14:paraId="6878E2A4">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municipalities, and align these with national and global goals. </w:t>
            </w:r>
          </w:p>
          <w:p w14:paraId="11321E6E">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3. Promoting Sustainability: Encourage innovative, ecosystem-friendly behaviors and capacity-building among citizens. </w:t>
            </w:r>
          </w:p>
          <w:p w14:paraId="63C92516">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4. Holistic Thinking: Integrate holistic approaches to protect and improve Izmir’s ecosystem and the broader environment. </w:t>
            </w:r>
          </w:p>
          <w:p w14:paraId="44C1DE27">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5. Data Transparency: Facilitate open access to socio-economic and ecological data to support decentralized decision-making. </w:t>
            </w:r>
          </w:p>
          <w:p w14:paraId="3A7AEE5A">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6. Sustainable Work: Focus on creating jobs and conditions that regenerate and enhance life cycles, rather than endless growth. </w:t>
            </w:r>
          </w:p>
          <w:p w14:paraId="2A46844A">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7. Adaptability: Commit to transparency and flexibility by adjusting strategic decisions as needed over time. </w:t>
            </w:r>
          </w:p>
          <w:p w14:paraId="251B2B02">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Methodology: The model's implementation relies on four main areas: </w:t>
            </w:r>
          </w:p>
          <w:p w14:paraId="41A30AB1">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1. Establishing a comprehensive “Gevrek” database for data-driven planning. </w:t>
            </w:r>
          </w:p>
          <w:p w14:paraId="2A14E134">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2. Developing a participatory city portrait to involve citizens in defining Izmir’s identity and goals. </w:t>
            </w:r>
          </w:p>
          <w:p w14:paraId="5DDD2CD5">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3. Engaging businesses to align the economic landscape with sustainable practices. </w:t>
            </w:r>
          </w:p>
          <w:p w14:paraId="1F6ECF3D">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4. Conducting educational programs and promotional activities to foster broad support for the model. </w:t>
            </w:r>
          </w:p>
          <w:p w14:paraId="7F1224F2">
            <w:pPr>
              <w:keepNext w:val="0"/>
              <w:keepLines w:val="0"/>
              <w:widowControl/>
              <w:suppressLineNumbers w:val="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lang w:val="en-US" w:eastAsia="zh-CN" w:bidi="ar"/>
              </w:rPr>
              <w:t xml:space="preserve">Through these pathways and methods, Izmir aims to foster a thriving, ecologically balanced city that respects social and </w:t>
            </w:r>
          </w:p>
          <w:p w14:paraId="26B3F028">
            <w:pPr>
              <w:keepNext w:val="0"/>
              <w:keepLines w:val="0"/>
              <w:widowControl/>
              <w:suppressLineNumbers w:val="0"/>
              <w:jc w:val="both"/>
              <w:rPr>
                <w:rFonts w:hint="eastAsia" w:ascii="微软雅黑" w:hAnsi="微软雅黑" w:eastAsia="微软雅黑" w:cs="微软雅黑"/>
                <w:b w:val="0"/>
                <w:bCs w:val="0"/>
                <w:color w:val="000000"/>
                <w:kern w:val="0"/>
                <w:sz w:val="24"/>
                <w:szCs w:val="24"/>
                <w:lang w:val="en-US" w:eastAsia="zh-CN" w:bidi="ar"/>
              </w:rPr>
            </w:pPr>
            <w:r>
              <w:rPr>
                <w:rFonts w:hint="eastAsia" w:ascii="微软雅黑" w:hAnsi="微软雅黑" w:eastAsia="微软雅黑" w:cs="微软雅黑"/>
                <w:b w:val="0"/>
                <w:bCs w:val="0"/>
                <w:color w:val="000000"/>
                <w:kern w:val="0"/>
                <w:sz w:val="24"/>
                <w:szCs w:val="24"/>
                <w:lang w:val="en-US" w:eastAsia="zh-CN" w:bidi="ar"/>
              </w:rPr>
              <w:t>environmental boundaries, benefiting present and future generations.</w:t>
            </w:r>
          </w:p>
          <w:p w14:paraId="07C9B0FF">
            <w:pPr>
              <w:keepNext w:val="0"/>
              <w:keepLines w:val="0"/>
              <w:widowControl/>
              <w:suppressLineNumbers w:val="0"/>
              <w:jc w:val="both"/>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olor w:val="000000"/>
                <w:kern w:val="0"/>
                <w:sz w:val="24"/>
                <w:szCs w:val="24"/>
                <w:lang w:val="en-US" w:eastAsia="zh-CN" w:bidi="ar"/>
              </w:rPr>
              <w:t xml:space="preserve">Global Donut Days, held from November 6-9, 2024, will bring together communities worldwide to </w:t>
            </w:r>
          </w:p>
          <w:p w14:paraId="18FB7621">
            <w:pPr>
              <w:keepNext w:val="0"/>
              <w:keepLines w:val="0"/>
              <w:widowControl/>
              <w:suppressLineNumbers w:val="0"/>
              <w:jc w:val="both"/>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olor w:val="000000"/>
                <w:kern w:val="0"/>
                <w:sz w:val="24"/>
                <w:szCs w:val="24"/>
                <w:lang w:val="en-US" w:eastAsia="zh-CN" w:bidi="ar"/>
              </w:rPr>
              <w:t xml:space="preserve">explore alternative economic models inspired by Doughnut Economics. The events, hosted in over 30 </w:t>
            </w:r>
          </w:p>
          <w:p w14:paraId="0D82FA9E">
            <w:pPr>
              <w:keepNext w:val="0"/>
              <w:keepLines w:val="0"/>
              <w:widowControl/>
              <w:suppressLineNumbers w:val="0"/>
              <w:jc w:val="both"/>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olor w:val="000000"/>
                <w:kern w:val="0"/>
                <w:sz w:val="24"/>
                <w:szCs w:val="24"/>
                <w:lang w:val="en-US" w:eastAsia="zh-CN" w:bidi="ar"/>
              </w:rPr>
              <w:t xml:space="preserve">regions, aim to connect local actions with global networks to design a new economy centered on social </w:t>
            </w:r>
          </w:p>
          <w:p w14:paraId="29E9625F">
            <w:pPr>
              <w:keepNext w:val="0"/>
              <w:keepLines w:val="0"/>
              <w:widowControl/>
              <w:suppressLineNumbers w:val="0"/>
              <w:jc w:val="both"/>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olor w:val="000000"/>
                <w:kern w:val="0"/>
                <w:sz w:val="24"/>
                <w:szCs w:val="24"/>
                <w:lang w:val="en-US" w:eastAsia="zh-CN" w:bidi="ar"/>
              </w:rPr>
              <w:t xml:space="preserve">justice and environmental limits. </w:t>
            </w:r>
          </w:p>
          <w:p w14:paraId="0E538807">
            <w:pPr>
              <w:keepNext w:val="0"/>
              <w:keepLines w:val="0"/>
              <w:widowControl/>
              <w:suppressLineNumbers w:val="0"/>
              <w:jc w:val="both"/>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olor w:val="000000"/>
                <w:kern w:val="0"/>
                <w:sz w:val="24"/>
                <w:szCs w:val="24"/>
                <w:lang w:val="en-US" w:eastAsia="zh-CN" w:bidi="ar"/>
              </w:rPr>
              <w:t xml:space="preserve">In Turkey, events will take place in Istanbul, Ankara, and Izmir under the theme "Local Actions, Global </w:t>
            </w:r>
          </w:p>
          <w:p w14:paraId="418AD89C">
            <w:pPr>
              <w:keepNext w:val="0"/>
              <w:keepLines w:val="0"/>
              <w:widowControl/>
              <w:suppressLineNumbers w:val="0"/>
              <w:jc w:val="both"/>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olor w:val="000000"/>
                <w:kern w:val="0"/>
                <w:sz w:val="24"/>
                <w:szCs w:val="24"/>
                <w:lang w:val="en-US" w:eastAsia="zh-CN" w:bidi="ar"/>
              </w:rPr>
              <w:t xml:space="preserve">Connections." Organized by Doughnut Turkey in partnership with Repair Workshop, Impact Hub Ankara, </w:t>
            </w:r>
          </w:p>
          <w:p w14:paraId="7C352CC8">
            <w:pPr>
              <w:keepNext w:val="0"/>
              <w:keepLines w:val="0"/>
              <w:widowControl/>
              <w:suppressLineNumbers w:val="0"/>
              <w:jc w:val="both"/>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olor w:val="000000"/>
                <w:kern w:val="0"/>
                <w:sz w:val="24"/>
                <w:szCs w:val="24"/>
                <w:lang w:val="en-US" w:eastAsia="zh-CN" w:bidi="ar"/>
              </w:rPr>
              <w:t xml:space="preserve">and Originn Creative Hub, and in cooperation with Istanbul Planning Agency (İPA) and Izmir Planning </w:t>
            </w:r>
          </w:p>
          <w:p w14:paraId="16D81F49">
            <w:pPr>
              <w:keepNext w:val="0"/>
              <w:keepLines w:val="0"/>
              <w:widowControl/>
              <w:suppressLineNumbers w:val="0"/>
              <w:jc w:val="both"/>
              <w:rPr>
                <w:rFonts w:hint="eastAsia" w:ascii="微软雅黑" w:hAnsi="微软雅黑" w:eastAsia="微软雅黑" w:cs="微软雅黑"/>
                <w:b w:val="0"/>
                <w:bCs w:val="0"/>
                <w:i w:val="0"/>
                <w:iCs w:val="0"/>
                <w:sz w:val="24"/>
                <w:szCs w:val="24"/>
              </w:rPr>
            </w:pPr>
            <w:r>
              <w:rPr>
                <w:rFonts w:hint="eastAsia" w:ascii="微软雅黑" w:hAnsi="微软雅黑" w:eastAsia="微软雅黑" w:cs="微软雅黑"/>
                <w:b w:val="0"/>
                <w:bCs w:val="0"/>
                <w:i w:val="0"/>
                <w:iCs w:val="0"/>
                <w:color w:val="000000"/>
                <w:kern w:val="0"/>
                <w:sz w:val="24"/>
                <w:szCs w:val="24"/>
                <w:lang w:val="en-US" w:eastAsia="zh-CN" w:bidi="ar"/>
              </w:rPr>
              <w:t xml:space="preserve">Agency (İZPA), these gatherings will foster discussions on the restorative and distributive principles of the </w:t>
            </w:r>
          </w:p>
          <w:p w14:paraId="14DE0529">
            <w:pPr>
              <w:keepNext w:val="0"/>
              <w:keepLines w:val="0"/>
              <w:widowControl/>
              <w:suppressLineNumbers w:val="0"/>
              <w:jc w:val="both"/>
              <w:rPr>
                <w:rFonts w:hint="eastAsia" w:ascii="微软雅黑" w:hAnsi="微软雅黑" w:eastAsia="微软雅黑" w:cs="微软雅黑"/>
                <w:b w:val="0"/>
                <w:bCs w:val="0"/>
                <w:color w:val="000000"/>
                <w:kern w:val="0"/>
                <w:sz w:val="24"/>
                <w:szCs w:val="24"/>
                <w:lang w:val="en-US" w:eastAsia="zh-CN" w:bidi="ar"/>
              </w:rPr>
            </w:pPr>
            <w:r>
              <w:rPr>
                <w:rFonts w:hint="eastAsia" w:ascii="微软雅黑" w:hAnsi="微软雅黑" w:eastAsia="微软雅黑" w:cs="微软雅黑"/>
                <w:b w:val="0"/>
                <w:bCs w:val="0"/>
                <w:i w:val="0"/>
                <w:iCs w:val="0"/>
                <w:color w:val="000000"/>
                <w:kern w:val="0"/>
                <w:sz w:val="24"/>
                <w:szCs w:val="24"/>
                <w:lang w:val="en-US" w:eastAsia="zh-CN" w:bidi="ar"/>
              </w:rPr>
              <w:t xml:space="preserve">donut economy. </w:t>
            </w:r>
          </w:p>
        </w:tc>
      </w:tr>
      <w:tr w14:paraId="059D5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DBE1CD7">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中文翻译</w:t>
            </w:r>
          </w:p>
        </w:tc>
        <w:tc>
          <w:tcPr>
            <w:tcW w:w="6814" w:type="dxa"/>
            <w:tcMar>
              <w:top w:w="90" w:type="dxa"/>
              <w:left w:w="100" w:type="dxa"/>
              <w:bottom w:w="90" w:type="dxa"/>
              <w:right w:w="100" w:type="dxa"/>
            </w:tcMar>
            <w:vAlign w:val="center"/>
          </w:tcPr>
          <w:p w14:paraId="7B8EF0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Style w:val="134"/>
                <w:rFonts w:hint="eastAsia" w:ascii="微软雅黑" w:hAnsi="微软雅黑" w:eastAsia="微软雅黑" w:cs="微软雅黑"/>
                <w:b w:val="0"/>
                <w:bCs w:val="0"/>
                <w:kern w:val="0"/>
                <w:sz w:val="24"/>
                <w:szCs w:val="24"/>
                <w:lang w:val="en-US" w:eastAsia="zh-CN" w:bidi="ar"/>
              </w:rPr>
              <w:t>伊兹密尔吉夫列克模式</w:t>
            </w:r>
            <w:r>
              <w:rPr>
                <w:rFonts w:hint="eastAsia" w:ascii="微软雅黑" w:hAnsi="微软雅黑" w:eastAsia="微软雅黑" w:cs="微软雅黑"/>
                <w:b w:val="0"/>
                <w:bCs w:val="0"/>
                <w:kern w:val="0"/>
                <w:sz w:val="24"/>
                <w:szCs w:val="24"/>
                <w:lang w:val="en-US" w:eastAsia="zh-CN" w:bidi="ar"/>
              </w:rPr>
              <w:t>受甜甜圈经济学启发，是伊兹密尔市政府为打造可持续、包容且生态平衡城市而推出的一项举措。该模式以当地点心 “吉夫列克（Gevrek）” 命名，象征社会福祉与生态健康之间的微妙平衡。它力求让伊兹密尔坚守生态边界（如减少碳排放），同时满足社会需求（如提升生活质量、促进社会公正）。</w:t>
            </w:r>
          </w:p>
          <w:p w14:paraId="4B08E60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核心目标</w:t>
            </w:r>
          </w:p>
          <w:p w14:paraId="19A691BD">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避免突破生态上限，目标将伊兹密尔打造为零碳城市。</w:t>
            </w:r>
          </w:p>
          <w:p w14:paraId="5B738F83">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夯实社会基础，提升生活质量，推进社会公正。</w:t>
            </w:r>
          </w:p>
          <w:p w14:paraId="7DEE064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发展路线</w:t>
            </w:r>
          </w:p>
          <w:p w14:paraId="24B59B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kern w:val="0"/>
                <w:sz w:val="24"/>
                <w:szCs w:val="24"/>
                <w:lang w:val="en-US" w:eastAsia="zh-CN" w:bidi="ar"/>
              </w:rPr>
              <w:t>伊兹密尔 2025—2029 年五年战略规划围绕两大核心问题展开：</w:t>
            </w:r>
          </w:p>
          <w:p w14:paraId="6A405DCF">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伊兹密尔如何在城市发展中保护环境？</w:t>
            </w:r>
          </w:p>
          <w:p w14:paraId="64B52AD6">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伊兹密尔如何在尊重地球边界的前提下保障高品质生活？</w:t>
            </w:r>
          </w:p>
          <w:p w14:paraId="29899B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kern w:val="0"/>
                <w:sz w:val="24"/>
                <w:szCs w:val="24"/>
                <w:lang w:val="en-US" w:eastAsia="zh-CN" w:bidi="ar"/>
              </w:rPr>
              <w:t>为实现这一目标，该模式遵循源自甜甜圈经济学的七大核心路径：</w:t>
            </w:r>
          </w:p>
          <w:p w14:paraId="5260BD2B">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Style w:val="134"/>
                <w:rFonts w:hint="eastAsia" w:ascii="微软雅黑" w:hAnsi="微软雅黑" w:eastAsia="微软雅黑" w:cs="微软雅黑"/>
                <w:b w:val="0"/>
                <w:bCs w:val="0"/>
                <w:sz w:val="24"/>
                <w:szCs w:val="24"/>
              </w:rPr>
              <w:t>繁荣城市</w:t>
            </w:r>
            <w:r>
              <w:rPr>
                <w:rFonts w:hint="eastAsia" w:ascii="微软雅黑" w:hAnsi="微软雅黑" w:eastAsia="微软雅黑" w:cs="微软雅黑"/>
                <w:b w:val="0"/>
                <w:bCs w:val="0"/>
                <w:sz w:val="24"/>
                <w:szCs w:val="24"/>
              </w:rPr>
              <w:t>：将地方目标与全球责任相结合，打造充满活力的城市。</w:t>
            </w:r>
          </w:p>
          <w:p w14:paraId="17C59A7E">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Style w:val="134"/>
                <w:rFonts w:hint="eastAsia" w:ascii="微软雅黑" w:hAnsi="微软雅黑" w:eastAsia="微软雅黑" w:cs="微软雅黑"/>
                <w:b w:val="0"/>
                <w:bCs w:val="0"/>
                <w:sz w:val="24"/>
                <w:szCs w:val="24"/>
              </w:rPr>
              <w:t>协同合作</w:t>
            </w:r>
            <w:r>
              <w:rPr>
                <w:rFonts w:hint="eastAsia" w:ascii="微软雅黑" w:hAnsi="微软雅黑" w:eastAsia="微软雅黑" w:cs="微软雅黑"/>
                <w:b w:val="0"/>
                <w:bCs w:val="0"/>
                <w:sz w:val="24"/>
                <w:szCs w:val="24"/>
              </w:rPr>
              <w:t>：加强大都会市政府、区市政府与爱琴海地区各市政府间的伙伴关系，并与国家及全球目标对接。</w:t>
            </w:r>
          </w:p>
          <w:p w14:paraId="62504BA8">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Style w:val="134"/>
                <w:rFonts w:hint="eastAsia" w:ascii="微软雅黑" w:hAnsi="微软雅黑" w:eastAsia="微软雅黑" w:cs="微软雅黑"/>
                <w:b w:val="0"/>
                <w:bCs w:val="0"/>
                <w:sz w:val="24"/>
                <w:szCs w:val="24"/>
              </w:rPr>
              <w:t>推动可持续</w:t>
            </w:r>
            <w:r>
              <w:rPr>
                <w:rFonts w:hint="eastAsia" w:ascii="微软雅黑" w:hAnsi="微软雅黑" w:eastAsia="微软雅黑" w:cs="微软雅黑"/>
                <w:b w:val="0"/>
                <w:bCs w:val="0"/>
                <w:sz w:val="24"/>
                <w:szCs w:val="24"/>
              </w:rPr>
              <w:t>：鼓励创新、友好于生态系统的行为，提升市民能力建设。</w:t>
            </w:r>
          </w:p>
          <w:p w14:paraId="1A9CF4D7">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Style w:val="134"/>
                <w:rFonts w:hint="eastAsia" w:ascii="微软雅黑" w:hAnsi="微软雅黑" w:eastAsia="微软雅黑" w:cs="微软雅黑"/>
                <w:b w:val="0"/>
                <w:bCs w:val="0"/>
                <w:sz w:val="24"/>
                <w:szCs w:val="24"/>
              </w:rPr>
              <w:t>整体思维</w:t>
            </w:r>
            <w:r>
              <w:rPr>
                <w:rFonts w:hint="eastAsia" w:ascii="微软雅黑" w:hAnsi="微软雅黑" w:eastAsia="微软雅黑" w:cs="微软雅黑"/>
                <w:b w:val="0"/>
                <w:bCs w:val="0"/>
                <w:sz w:val="24"/>
                <w:szCs w:val="24"/>
              </w:rPr>
              <w:t>：采用整体化方法保护与改善伊兹密尔生态系统及更广泛的环境。</w:t>
            </w:r>
          </w:p>
          <w:p w14:paraId="18B61639">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Style w:val="134"/>
                <w:rFonts w:hint="eastAsia" w:ascii="微软雅黑" w:hAnsi="微软雅黑" w:eastAsia="微软雅黑" w:cs="微软雅黑"/>
                <w:b w:val="0"/>
                <w:bCs w:val="0"/>
                <w:sz w:val="24"/>
                <w:szCs w:val="24"/>
              </w:rPr>
              <w:t>数据透明</w:t>
            </w:r>
            <w:r>
              <w:rPr>
                <w:rFonts w:hint="eastAsia" w:ascii="微软雅黑" w:hAnsi="微软雅黑" w:eastAsia="微软雅黑" w:cs="微软雅黑"/>
                <w:b w:val="0"/>
                <w:bCs w:val="0"/>
                <w:sz w:val="24"/>
                <w:szCs w:val="24"/>
              </w:rPr>
              <w:t>：推动社会经济与生态数据开放获取，支持去中心化决策。</w:t>
            </w:r>
          </w:p>
          <w:p w14:paraId="4CB8E985">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Style w:val="134"/>
                <w:rFonts w:hint="eastAsia" w:ascii="微软雅黑" w:hAnsi="微软雅黑" w:eastAsia="微软雅黑" w:cs="微软雅黑"/>
                <w:b w:val="0"/>
                <w:bCs w:val="0"/>
                <w:sz w:val="24"/>
                <w:szCs w:val="24"/>
              </w:rPr>
              <w:t>可持续就业</w:t>
            </w:r>
            <w:r>
              <w:rPr>
                <w:rFonts w:hint="eastAsia" w:ascii="微软雅黑" w:hAnsi="微软雅黑" w:eastAsia="微软雅黑" w:cs="微软雅黑"/>
                <w:b w:val="0"/>
                <w:bCs w:val="0"/>
                <w:sz w:val="24"/>
                <w:szCs w:val="24"/>
              </w:rPr>
              <w:t>：聚焦创造能够再生并提升生命周期的工作与条件，而非追求无限增长。</w:t>
            </w:r>
          </w:p>
          <w:p w14:paraId="2E250140">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Style w:val="134"/>
                <w:rFonts w:hint="eastAsia" w:ascii="微软雅黑" w:hAnsi="微软雅黑" w:eastAsia="微软雅黑" w:cs="微软雅黑"/>
                <w:b w:val="0"/>
                <w:bCs w:val="0"/>
                <w:sz w:val="24"/>
                <w:szCs w:val="24"/>
              </w:rPr>
              <w:t>适应性</w:t>
            </w:r>
            <w:r>
              <w:rPr>
                <w:rFonts w:hint="eastAsia" w:ascii="微软雅黑" w:hAnsi="微软雅黑" w:eastAsia="微软雅黑" w:cs="微软雅黑"/>
                <w:b w:val="0"/>
                <w:bCs w:val="0"/>
                <w:sz w:val="24"/>
                <w:szCs w:val="24"/>
              </w:rPr>
              <w:t>：保持透明与灵活，根据实际需要适时调整战略决策。</w:t>
            </w:r>
          </w:p>
          <w:p w14:paraId="5C7B268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实施方法</w:t>
            </w:r>
          </w:p>
          <w:p w14:paraId="694CC1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kern w:val="0"/>
                <w:sz w:val="24"/>
                <w:szCs w:val="24"/>
                <w:lang w:val="en-US" w:eastAsia="zh-CN" w:bidi="ar"/>
              </w:rPr>
              <w:t>该模式的落地依托四大核心领域：</w:t>
            </w:r>
          </w:p>
          <w:p w14:paraId="64BE52E4">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建立全面的 “吉夫列克” 数据库，支撑数据驱动型规划。</w:t>
            </w:r>
          </w:p>
          <w:p w14:paraId="70F7AB81">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打造参与式城市画像，让市民参与定义伊兹密尔的城市定位与发展目标。</w:t>
            </w:r>
          </w:p>
          <w:p w14:paraId="60326CA2">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联动企业，推动经济发展模式与可持续实践接轨。</w:t>
            </w:r>
          </w:p>
          <w:p w14:paraId="7DDFECC2">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开展教育项目与宣传活动，凝聚全社会对该模式的广泛支持。</w:t>
            </w:r>
          </w:p>
          <w:p w14:paraId="068AA8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kern w:val="0"/>
                <w:sz w:val="24"/>
                <w:szCs w:val="24"/>
                <w:lang w:val="en-US" w:eastAsia="zh-CN" w:bidi="ar"/>
              </w:rPr>
              <w:t>通过上述路径与方法，伊兹密尔致力于建设繁荣、生态平衡、兼顾社会与环境边界的城市，造福当代与后代。</w:t>
            </w:r>
          </w:p>
          <w:p w14:paraId="26001E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kern w:val="0"/>
                <w:sz w:val="24"/>
                <w:szCs w:val="24"/>
                <w:lang w:val="en-US" w:eastAsia="zh-CN" w:bidi="ar"/>
              </w:rPr>
              <w:t>2024 年 11 月 6 日至 9 日举办的</w:t>
            </w:r>
            <w:r>
              <w:rPr>
                <w:rStyle w:val="134"/>
                <w:rFonts w:hint="eastAsia" w:ascii="微软雅黑" w:hAnsi="微软雅黑" w:eastAsia="微软雅黑" w:cs="微软雅黑"/>
                <w:b w:val="0"/>
                <w:bCs w:val="0"/>
                <w:kern w:val="0"/>
                <w:sz w:val="24"/>
                <w:szCs w:val="24"/>
                <w:lang w:val="en-US" w:eastAsia="zh-CN" w:bidi="ar"/>
              </w:rPr>
              <w:t>全球甜甜圈日</w:t>
            </w:r>
            <w:r>
              <w:rPr>
                <w:rFonts w:hint="eastAsia" w:ascii="微软雅黑" w:hAnsi="微软雅黑" w:eastAsia="微软雅黑" w:cs="微软雅黑"/>
                <w:b w:val="0"/>
                <w:bCs w:val="0"/>
                <w:kern w:val="0"/>
                <w:sz w:val="24"/>
                <w:szCs w:val="24"/>
                <w:lang w:val="en-US" w:eastAsia="zh-CN" w:bidi="ar"/>
              </w:rPr>
              <w:t>，将汇聚全球社群探索受甜甜圈经济学启发的替代经济模式。该活动在 30 多个地区举办，旨在将地方行动与全球网络连接，构建以社会公正与生态边界为核心的新型经济。</w:t>
            </w:r>
          </w:p>
          <w:p w14:paraId="7721B4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kern w:val="0"/>
                <w:sz w:val="24"/>
                <w:szCs w:val="24"/>
                <w:lang w:val="en-US" w:eastAsia="zh-CN" w:bidi="ar"/>
              </w:rPr>
              <w:t>在土耳其，活动以 **“地方行动，全球连接”** 为主题，在伊斯坦布尔、安卡拉、伊兹密尔三地举行。活动由土耳其甜甜圈经济社区联合修复工坊、安卡拉影响力中心、原创创意中心主办，并与伊斯坦布尔规划局（İPA）、伊兹密尔规划局（İZPA）合作，围绕甜甜圈经济的修复性与分配性原则展开研讨。</w:t>
            </w:r>
          </w:p>
        </w:tc>
      </w:tr>
      <w:tr w14:paraId="0F657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5CB5F81">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你的判断</w:t>
            </w:r>
          </w:p>
        </w:tc>
        <w:tc>
          <w:tcPr>
            <w:tcW w:w="6814" w:type="dxa"/>
            <w:tcMar>
              <w:top w:w="90" w:type="dxa"/>
              <w:left w:w="100" w:type="dxa"/>
              <w:bottom w:w="90" w:type="dxa"/>
              <w:right w:w="100" w:type="dxa"/>
            </w:tcMar>
            <w:vAlign w:val="center"/>
          </w:tcPr>
          <w:p w14:paraId="0178E03F">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是否可用于论文：</w:t>
            </w:r>
            <w:r>
              <w:rPr>
                <w:rFonts w:hint="eastAsia" w:ascii="微软雅黑" w:hAnsi="微软雅黑" w:cs="微软雅黑"/>
                <w:sz w:val="24"/>
                <w:szCs w:val="24"/>
                <w:lang w:eastAsia="zh-CN"/>
              </w:rPr>
              <w:t>□</w:t>
            </w:r>
            <w:r>
              <w:rPr>
                <w:rFonts w:hint="eastAsia" w:ascii="微软雅黑" w:hAnsi="微软雅黑" w:eastAsia="微软雅黑" w:cs="微软雅黑"/>
                <w:sz w:val="24"/>
                <w:szCs w:val="24"/>
                <w:lang w:eastAsia="zh-CN"/>
              </w:rPr>
              <w:t xml:space="preserve">核心文献  </w:t>
            </w:r>
            <w:r>
              <w:rPr>
                <w:rFonts w:hint="eastAsia" w:ascii="微软雅黑" w:hAnsi="微软雅黑" w:cs="微软雅黑"/>
                <w:sz w:val="24"/>
                <w:szCs w:val="24"/>
                <w:lang w:eastAsia="zh-CN"/>
              </w:rPr>
              <w:t>☑</w:t>
            </w:r>
            <w:r>
              <w:rPr>
                <w:rFonts w:hint="eastAsia" w:ascii="微软雅黑" w:hAnsi="微软雅黑" w:eastAsia="微软雅黑" w:cs="微软雅黑"/>
                <w:sz w:val="24"/>
                <w:szCs w:val="24"/>
                <w:lang w:eastAsia="zh-CN"/>
              </w:rPr>
              <w:t>辅助文献  □备用资料</w:t>
            </w:r>
            <w:r>
              <w:rPr>
                <w:rFonts w:hint="eastAsia" w:ascii="微软雅黑" w:hAnsi="微软雅黑" w:eastAsia="微软雅黑" w:cs="微软雅黑"/>
                <w:sz w:val="24"/>
                <w:szCs w:val="24"/>
                <w:lang w:eastAsia="zh-CN"/>
              </w:rPr>
              <w:br w:type="textWrapping"/>
            </w:r>
            <w:r>
              <w:rPr>
                <w:rFonts w:hint="eastAsia" w:ascii="微软雅黑" w:hAnsi="微软雅黑" w:eastAsia="微软雅黑" w:cs="微软雅黑"/>
                <w:sz w:val="24"/>
                <w:szCs w:val="24"/>
                <w:lang w:eastAsia="zh-CN"/>
              </w:rPr>
              <w:t>可信度：☑高  □中  □低</w:t>
            </w:r>
          </w:p>
        </w:tc>
      </w:tr>
    </w:tbl>
    <w:p w14:paraId="019A149C">
      <w:pPr>
        <w:rPr>
          <w:rFonts w:hint="eastAsia" w:ascii="微软雅黑" w:hAnsi="微软雅黑" w:eastAsia="微软雅黑" w:cs="微软雅黑"/>
          <w:b/>
          <w:color w:val="1F4E79"/>
          <w:sz w:val="24"/>
          <w:szCs w:val="24"/>
          <w:lang w:eastAsia="zh-CN"/>
        </w:rPr>
      </w:pPr>
      <w:r>
        <w:rPr>
          <w:rFonts w:hint="eastAsia" w:ascii="微软雅黑" w:hAnsi="微软雅黑" w:eastAsia="微软雅黑" w:cs="微软雅黑"/>
          <w:b/>
          <w:color w:val="1F4E79"/>
          <w:sz w:val="24"/>
          <w:szCs w:val="24"/>
          <w:lang w:eastAsia="zh-CN"/>
        </w:rPr>
        <w:br w:type="page"/>
      </w:r>
    </w:p>
    <w:p w14:paraId="1A216E2D">
      <w:pPr>
        <w:rPr>
          <w:rFonts w:hint="eastAsia" w:ascii="微软雅黑" w:hAnsi="微软雅黑" w:eastAsia="微软雅黑" w:cs="微软雅黑"/>
          <w:sz w:val="24"/>
          <w:szCs w:val="24"/>
          <w:lang w:eastAsia="zh-CN"/>
        </w:rPr>
      </w:pPr>
      <w:r>
        <w:rPr>
          <w:rFonts w:hint="eastAsia" w:ascii="微软雅黑" w:hAnsi="微软雅黑" w:eastAsia="微软雅黑" w:cs="微软雅黑"/>
          <w:b/>
          <w:color w:val="1F4E79"/>
          <w:sz w:val="24"/>
          <w:szCs w:val="24"/>
          <w:lang w:eastAsia="zh-CN"/>
        </w:rPr>
        <w:t>四、最后汇总（每组课堂结束前必须完成）</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5941"/>
      </w:tblGrid>
      <w:tr w14:paraId="25B2A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0F8C67FA">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最重要的几条结论</w:t>
            </w:r>
          </w:p>
        </w:tc>
        <w:tc>
          <w:tcPr>
            <w:tcW w:w="5941" w:type="dxa"/>
            <w:tcMar>
              <w:top w:w="90" w:type="dxa"/>
              <w:left w:w="100" w:type="dxa"/>
              <w:bottom w:w="90" w:type="dxa"/>
              <w:right w:w="100" w:type="dxa"/>
            </w:tcMar>
            <w:vAlign w:val="center"/>
          </w:tcPr>
          <w:p w14:paraId="21E79A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伊兹密尔以</w:t>
            </w:r>
            <w:r>
              <w:rPr>
                <w:rStyle w:val="134"/>
                <w:rFonts w:hint="eastAsia" w:ascii="微软雅黑" w:hAnsi="微软雅黑" w:eastAsia="微软雅黑" w:cs="微软雅黑"/>
                <w:b w:val="0"/>
                <w:bCs w:val="0"/>
                <w:sz w:val="24"/>
                <w:szCs w:val="24"/>
              </w:rPr>
              <w:t>凯特・罗沃斯甜甜圈经济学</w:t>
            </w:r>
            <w:r>
              <w:rPr>
                <w:rFonts w:hint="eastAsia" w:ascii="微软雅黑" w:hAnsi="微软雅黑" w:eastAsia="微软雅黑" w:cs="微软雅黑"/>
                <w:b w:val="0"/>
                <w:bCs w:val="0"/>
                <w:sz w:val="24"/>
                <w:szCs w:val="24"/>
              </w:rPr>
              <w:t>为理论核心，结合本土文化打造</w:t>
            </w:r>
            <w:r>
              <w:rPr>
                <w:rStyle w:val="134"/>
                <w:rFonts w:hint="eastAsia" w:ascii="微软雅黑" w:hAnsi="微软雅黑" w:eastAsia="微软雅黑" w:cs="微软雅黑"/>
                <w:b w:val="0"/>
                <w:bCs w:val="0"/>
                <w:sz w:val="24"/>
                <w:szCs w:val="24"/>
              </w:rPr>
              <w:t>Gevrek模型</w:t>
            </w:r>
            <w:r>
              <w:rPr>
                <w:rFonts w:hint="eastAsia" w:ascii="微软雅黑" w:hAnsi="微软雅黑" w:eastAsia="微软雅黑" w:cs="微软雅黑"/>
                <w:b w:val="0"/>
                <w:bCs w:val="0"/>
                <w:sz w:val="24"/>
                <w:szCs w:val="24"/>
              </w:rPr>
              <w:t>，作为城市可持续转型核心框架。</w:t>
            </w:r>
          </w:p>
          <w:p w14:paraId="767F95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甜甜圈模式正式纳入伊兹密尔</w:t>
            </w:r>
            <w:r>
              <w:rPr>
                <w:rStyle w:val="134"/>
                <w:rFonts w:hint="eastAsia" w:ascii="微软雅黑" w:hAnsi="微软雅黑" w:eastAsia="微软雅黑" w:cs="微软雅黑"/>
                <w:b w:val="0"/>
                <w:bCs w:val="0"/>
                <w:sz w:val="24"/>
                <w:szCs w:val="24"/>
              </w:rPr>
              <w:t>2025–2029 官方五年战略规划</w:t>
            </w:r>
            <w:r>
              <w:rPr>
                <w:rFonts w:hint="eastAsia" w:ascii="微软雅黑" w:hAnsi="微软雅黑" w:eastAsia="微软雅黑" w:cs="微软雅黑"/>
                <w:b w:val="0"/>
                <w:bCs w:val="0"/>
                <w:sz w:val="24"/>
                <w:szCs w:val="24"/>
              </w:rPr>
              <w:t>，经市议会批准，成为全市法定发展纲领。</w:t>
            </w:r>
          </w:p>
          <w:p w14:paraId="4C0F37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规划由市长牵头、IZPA 主导，联动市政部门、高校、市属企业多方协作，建立科学数据化、参与式治理机制推进落地。</w:t>
            </w:r>
          </w:p>
          <w:p w14:paraId="7332CF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核心发展目标严格紧扣甜甜圈理念：严守</w:t>
            </w:r>
            <w:r>
              <w:rPr>
                <w:rStyle w:val="134"/>
                <w:rFonts w:hint="eastAsia" w:ascii="微软雅黑" w:hAnsi="微软雅黑" w:eastAsia="微软雅黑" w:cs="微软雅黑"/>
                <w:b w:val="0"/>
                <w:bCs w:val="0"/>
                <w:sz w:val="24"/>
                <w:szCs w:val="24"/>
              </w:rPr>
              <w:t>生态边界</w:t>
            </w:r>
            <w:r>
              <w:rPr>
                <w:rFonts w:hint="eastAsia" w:ascii="微软雅黑" w:hAnsi="微软雅黑" w:eastAsia="微软雅黑" w:cs="微软雅黑"/>
                <w:b w:val="0"/>
                <w:bCs w:val="0"/>
                <w:sz w:val="24"/>
                <w:szCs w:val="24"/>
              </w:rPr>
              <w:t>、筑牢</w:t>
            </w:r>
            <w:r>
              <w:rPr>
                <w:rStyle w:val="134"/>
                <w:rFonts w:hint="eastAsia" w:ascii="微软雅黑" w:hAnsi="微软雅黑" w:eastAsia="微软雅黑" w:cs="微软雅黑"/>
                <w:b w:val="0"/>
                <w:bCs w:val="0"/>
                <w:sz w:val="24"/>
                <w:szCs w:val="24"/>
              </w:rPr>
              <w:t>社会基础</w:t>
            </w:r>
            <w:r>
              <w:rPr>
                <w:rFonts w:hint="eastAsia" w:ascii="微软雅黑" w:hAnsi="微软雅黑" w:eastAsia="微软雅黑" w:cs="微软雅黑"/>
                <w:b w:val="0"/>
                <w:bCs w:val="0"/>
                <w:sz w:val="24"/>
                <w:szCs w:val="24"/>
              </w:rPr>
              <w:t>，打造零碳、生态安全、社会公正、高韧性的包容型再生城市。</w:t>
            </w:r>
          </w:p>
          <w:p w14:paraId="7E9A5F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突破短期治理思维，规划具备</w:t>
            </w:r>
            <w:r>
              <w:rPr>
                <w:rStyle w:val="134"/>
                <w:rFonts w:hint="eastAsia" w:ascii="微软雅黑" w:hAnsi="微软雅黑" w:eastAsia="微软雅黑" w:cs="微软雅黑"/>
                <w:b w:val="0"/>
                <w:bCs w:val="0"/>
                <w:sz w:val="24"/>
                <w:szCs w:val="24"/>
              </w:rPr>
              <w:t>30–50 年长远愿景</w:t>
            </w:r>
            <w:r>
              <w:rPr>
                <w:rFonts w:hint="eastAsia" w:ascii="微软雅黑" w:hAnsi="微软雅黑" w:eastAsia="微软雅黑" w:cs="微软雅黑"/>
                <w:b w:val="0"/>
                <w:bCs w:val="0"/>
                <w:sz w:val="24"/>
                <w:szCs w:val="24"/>
              </w:rPr>
              <w:t>，结合新一代市政主义，推行循环经济与颠覆性转型策略，应对多重城市危机。</w:t>
            </w:r>
          </w:p>
          <w:p w14:paraId="5572A1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构建完整落地体系：设立专项实验室、统一考核指标、制定行动路径与实施方法，自上而下推动全城全域模式转型。</w:t>
            </w:r>
          </w:p>
          <w:p w14:paraId="187D9B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b w:val="0"/>
                <w:bCs w:val="0"/>
                <w:sz w:val="24"/>
                <w:szCs w:val="24"/>
              </w:rPr>
              <w:t>·  该实践具有城市治理里程碑意义，为地中海地区城市本土化应用甜甜圈计划、平衡生态与社会发展提供典型范本。</w:t>
            </w:r>
          </w:p>
        </w:tc>
      </w:tr>
      <w:tr w14:paraId="13CD8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5289BB20">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最能体现“甜甜圈实践”的证据</w:t>
            </w:r>
          </w:p>
        </w:tc>
        <w:tc>
          <w:tcPr>
            <w:tcW w:w="5941" w:type="dxa"/>
            <w:tcMar>
              <w:top w:w="90" w:type="dxa"/>
              <w:left w:w="100" w:type="dxa"/>
              <w:bottom w:w="90" w:type="dxa"/>
              <w:right w:w="100" w:type="dxa"/>
            </w:tcMar>
            <w:vAlign w:val="center"/>
          </w:tcPr>
          <w:p w14:paraId="08DCA5B4">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伊兹密尔将甜甜圈计划--我们称之为Gevrek--纳入由伊兹密尔规划局(IZPA)制定的五年战略计划(2025-2029)，并于2024年9月获得市议会批准。</w:t>
            </w:r>
          </w:p>
        </w:tc>
      </w:tr>
      <w:tr w14:paraId="0306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4FAD1C29">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这座城市最关注的社会问题</w:t>
            </w:r>
          </w:p>
        </w:tc>
        <w:tc>
          <w:tcPr>
            <w:tcW w:w="5941" w:type="dxa"/>
            <w:tcMar>
              <w:top w:w="90" w:type="dxa"/>
              <w:left w:w="100" w:type="dxa"/>
              <w:bottom w:w="90" w:type="dxa"/>
              <w:right w:w="100" w:type="dxa"/>
            </w:tcMar>
            <w:vAlign w:val="center"/>
          </w:tcPr>
          <w:p w14:paraId="3F1E2890">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高通胀引发的生活成本暴涨、物价飞涨、收入购买力大幅缩水，普通民众生存生活压力巨大</w:t>
            </w:r>
          </w:p>
        </w:tc>
      </w:tr>
      <w:tr w14:paraId="606E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3A5AE7A8">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这座城市最关注的生态问题</w:t>
            </w:r>
          </w:p>
        </w:tc>
        <w:tc>
          <w:tcPr>
            <w:tcW w:w="5941" w:type="dxa"/>
            <w:tcMar>
              <w:top w:w="90" w:type="dxa"/>
              <w:left w:w="100" w:type="dxa"/>
              <w:bottom w:w="90" w:type="dxa"/>
              <w:right w:w="100" w:type="dxa"/>
            </w:tcMar>
            <w:vAlign w:val="center"/>
          </w:tcPr>
          <w:p w14:paraId="4C75DB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276" w:lineRule="auto"/>
              <w:ind w:left="0" w:right="0"/>
              <w:jc w:val="both"/>
              <w:rPr>
                <w:rFonts w:hint="eastAsia" w:ascii="微软雅黑" w:hAnsi="微软雅黑" w:eastAsia="微软雅黑" w:cs="微软雅黑"/>
                <w:sz w:val="24"/>
                <w:szCs w:val="24"/>
                <w:lang w:val="en-US" w:eastAsia="zh-CN"/>
              </w:rPr>
            </w:pPr>
            <w:r>
              <w:rPr>
                <w:rStyle w:val="134"/>
                <w:rFonts w:hint="eastAsia" w:ascii="微软雅黑" w:hAnsi="微软雅黑" w:eastAsia="微软雅黑" w:cs="微软雅黑"/>
                <w:b w:val="0"/>
                <w:bCs w:val="0"/>
                <w:kern w:val="0"/>
                <w:sz w:val="24"/>
                <w:szCs w:val="24"/>
                <w:lang w:val="en-US" w:eastAsia="zh-CN" w:bidi="ar"/>
              </w:rPr>
              <w:t>伊兹密尔海湾（爱琴海沿岸）严重海洋污染</w:t>
            </w:r>
          </w:p>
        </w:tc>
      </w:tr>
      <w:tr w14:paraId="4457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0B507911">
            <w:pPr>
              <w:keepNext w:val="0"/>
              <w:keepLines w:val="0"/>
              <w:pageBreakBefore w:val="0"/>
              <w:widowControl/>
              <w:kinsoku/>
              <w:wordWrap/>
              <w:overflowPunct/>
              <w:topLinePunct w:val="0"/>
              <w:autoSpaceDE/>
              <w:autoSpaceDN/>
              <w:bidi w:val="0"/>
              <w:adjustRightInd/>
              <w:snapToGrid/>
              <w:spacing w:after="200" w:afterAutospacing="0" w:line="276" w:lineRule="auto"/>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eastAsia="zh-CN"/>
              </w:rPr>
              <w:t>这座城市更关注社会还是生态问题？</w:t>
            </w:r>
          </w:p>
        </w:tc>
        <w:tc>
          <w:tcPr>
            <w:tcW w:w="5941" w:type="dxa"/>
            <w:tcMar>
              <w:top w:w="90" w:type="dxa"/>
              <w:left w:w="100" w:type="dxa"/>
              <w:bottom w:w="90" w:type="dxa"/>
              <w:right w:w="100" w:type="dxa"/>
            </w:tcMar>
            <w:vAlign w:val="center"/>
          </w:tcPr>
          <w:p w14:paraId="29412C90">
            <w:pPr>
              <w:keepNext w:val="0"/>
              <w:keepLines w:val="0"/>
              <w:pageBreakBefore w:val="0"/>
              <w:widowControl/>
              <w:kinsoku/>
              <w:wordWrap/>
              <w:overflowPunct/>
              <w:topLinePunct w:val="0"/>
              <w:autoSpaceDE/>
              <w:autoSpaceDN/>
              <w:bidi w:val="0"/>
              <w:adjustRightInd/>
              <w:snapToGrid/>
              <w:spacing w:after="200" w:afterAutospacing="0" w:line="276" w:lineRule="auto"/>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b w:val="0"/>
                <w:bCs w:val="0"/>
                <w:sz w:val="24"/>
                <w:szCs w:val="24"/>
                <w:lang w:val="en-US" w:eastAsia="zh-CN"/>
              </w:rPr>
              <w:t xml:space="preserve">生态问题 </w:t>
            </w:r>
            <w:r>
              <w:rPr>
                <w:rFonts w:hint="eastAsia" w:ascii="微软雅黑" w:hAnsi="微软雅黑" w:eastAsia="微软雅黑" w:cs="微软雅黑"/>
                <w:b w:val="0"/>
                <w:bCs w:val="0"/>
                <w:sz w:val="24"/>
                <w:szCs w:val="24"/>
              </w:rPr>
              <w:t>整套城市转型完全以</w:t>
            </w:r>
            <w:r>
              <w:rPr>
                <w:rStyle w:val="134"/>
                <w:rFonts w:hint="eastAsia" w:ascii="微软雅黑" w:hAnsi="微软雅黑" w:eastAsia="微软雅黑" w:cs="微软雅黑"/>
                <w:b w:val="0"/>
                <w:bCs w:val="0"/>
                <w:sz w:val="24"/>
                <w:szCs w:val="24"/>
              </w:rPr>
              <w:t>甜甜圈模型的地球生态边界</w:t>
            </w:r>
            <w:r>
              <w:rPr>
                <w:rFonts w:hint="eastAsia" w:ascii="微软雅黑" w:hAnsi="微软雅黑" w:eastAsia="微软雅黑" w:cs="微软雅黑"/>
                <w:b w:val="0"/>
                <w:bCs w:val="0"/>
                <w:sz w:val="24"/>
                <w:szCs w:val="24"/>
              </w:rPr>
              <w:t>为核心框架，所有发展都必须先遵守生态上限、控制碳排放、推行循环经济，把生态承载力作为城市发展的硬性限制。</w:t>
            </w:r>
          </w:p>
        </w:tc>
      </w:tr>
    </w:tbl>
    <w:p w14:paraId="63CA82CD">
      <w:pPr>
        <w:spacing w:before="160" w:after="80"/>
        <w:rPr>
          <w:sz w:val="24"/>
          <w:szCs w:val="24"/>
          <w:lang w:eastAsia="zh-CN"/>
        </w:rPr>
      </w:pPr>
      <w:r>
        <w:rPr>
          <w:b/>
          <w:color w:val="1F4E79"/>
          <w:sz w:val="24"/>
          <w:szCs w:val="24"/>
          <w:lang w:eastAsia="zh-CN"/>
        </w:rPr>
        <w:t>五、老师提醒</w:t>
      </w:r>
    </w:p>
    <w:p w14:paraId="6B08E4F6">
      <w:pPr>
        <w:spacing w:after="20"/>
        <w:ind w:left="170"/>
        <w:rPr>
          <w:sz w:val="24"/>
          <w:szCs w:val="24"/>
          <w:lang w:eastAsia="zh-CN"/>
        </w:rPr>
      </w:pPr>
      <w:r>
        <w:rPr>
          <w:sz w:val="24"/>
          <w:szCs w:val="24"/>
          <w:lang w:eastAsia="zh-CN"/>
        </w:rPr>
        <w:t>不要只抄城市介绍，要抓“为什么采用甜甜圈、做了什么、推进到什么程度”。</w:t>
      </w:r>
    </w:p>
    <w:p w14:paraId="4F44A02F">
      <w:pPr>
        <w:spacing w:after="20"/>
        <w:ind w:left="170"/>
        <w:rPr>
          <w:sz w:val="24"/>
          <w:szCs w:val="24"/>
          <w:lang w:eastAsia="zh-CN"/>
        </w:rPr>
      </w:pPr>
      <w:r>
        <w:rPr>
          <w:sz w:val="24"/>
          <w:szCs w:val="24"/>
          <w:lang w:eastAsia="zh-CN"/>
        </w:rPr>
        <w:t>不要只放链接不做整理；也不要只有翻译没有原文。</w:t>
      </w:r>
    </w:p>
    <w:p w14:paraId="16C21DCB">
      <w:pPr>
        <w:spacing w:after="20"/>
        <w:ind w:left="170"/>
        <w:rPr>
          <w:sz w:val="24"/>
          <w:szCs w:val="24"/>
          <w:lang w:eastAsia="zh-CN"/>
        </w:rPr>
      </w:pPr>
      <w:r>
        <w:rPr>
          <w:sz w:val="24"/>
          <w:szCs w:val="24"/>
          <w:lang w:eastAsia="zh-CN"/>
        </w:rPr>
        <w:t>外网资料可能下次打不开，请及时保存标题、链接、截图或 PDF。</w:t>
      </w:r>
    </w:p>
    <w:p w14:paraId="2FFDABBF">
      <w:pPr>
        <w:spacing w:after="20"/>
        <w:ind w:left="170"/>
        <w:rPr>
          <w:sz w:val="24"/>
          <w:szCs w:val="24"/>
          <w:lang w:eastAsia="zh-CN"/>
        </w:rPr>
      </w:pPr>
      <w:r>
        <w:rPr>
          <w:sz w:val="24"/>
          <w:szCs w:val="24"/>
          <w:lang w:eastAsia="zh-CN"/>
        </w:rPr>
        <w:t>没有找到证据的内容不要猜，可以写“暂未发现明确证据”。</w:t>
      </w:r>
    </w:p>
    <w:sectPr>
      <w:pgSz w:w="12240" w:h="15840"/>
      <w:pgMar w:top="1247" w:right="1304" w:bottom="1134" w:left="130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6B8A9"/>
    <w:multiLevelType w:val="multilevel"/>
    <w:tmpl w:val="AA96B8A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ABE823D8"/>
    <w:multiLevelType w:val="multilevel"/>
    <w:tmpl w:val="ABE823D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B7F3872E"/>
    <w:multiLevelType w:val="multilevel"/>
    <w:tmpl w:val="B7F3872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E28726C9"/>
    <w:multiLevelType w:val="multilevel"/>
    <w:tmpl w:val="E28726C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FD9EA787"/>
    <w:multiLevelType w:val="multilevel"/>
    <w:tmpl w:val="FD9EA78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6">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7">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8">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9">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11">
    <w:nsid w:val="18507D0A"/>
    <w:multiLevelType w:val="multilevel"/>
    <w:tmpl w:val="18507D0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486436CA"/>
    <w:multiLevelType w:val="multilevel"/>
    <w:tmpl w:val="486436C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3">
    <w:nsid w:val="54BABB3B"/>
    <w:multiLevelType w:val="multilevel"/>
    <w:tmpl w:val="54BABB3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4">
    <w:nsid w:val="7771EEDC"/>
    <w:multiLevelType w:val="multilevel"/>
    <w:tmpl w:val="7771EED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6"/>
  </w:num>
  <w:num w:numId="2">
    <w:abstractNumId w:val="9"/>
  </w:num>
  <w:num w:numId="3">
    <w:abstractNumId w:val="10"/>
  </w:num>
  <w:num w:numId="4">
    <w:abstractNumId w:val="7"/>
  </w:num>
  <w:num w:numId="5">
    <w:abstractNumId w:val="5"/>
  </w:num>
  <w:num w:numId="6">
    <w:abstractNumId w:val="8"/>
  </w:num>
  <w:num w:numId="7">
    <w:abstractNumId w:val="14"/>
  </w:num>
  <w:num w:numId="8">
    <w:abstractNumId w:val="3"/>
  </w:num>
  <w:num w:numId="9">
    <w:abstractNumId w:val="4"/>
  </w:num>
  <w:num w:numId="10">
    <w:abstractNumId w:val="11"/>
  </w:num>
  <w:num w:numId="11">
    <w:abstractNumId w:val="12"/>
  </w:num>
  <w:num w:numId="12">
    <w:abstractNumId w:val="1"/>
  </w:num>
  <w:num w:numId="13">
    <w:abstractNumId w:val="2"/>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5463A"/>
    <w:rsid w:val="0006063C"/>
    <w:rsid w:val="000E64E9"/>
    <w:rsid w:val="0015074B"/>
    <w:rsid w:val="001576FD"/>
    <w:rsid w:val="0029639D"/>
    <w:rsid w:val="003053BD"/>
    <w:rsid w:val="00326F90"/>
    <w:rsid w:val="003D388F"/>
    <w:rsid w:val="00516A8D"/>
    <w:rsid w:val="00560FDF"/>
    <w:rsid w:val="00734FAE"/>
    <w:rsid w:val="007568B4"/>
    <w:rsid w:val="00936C21"/>
    <w:rsid w:val="00A52450"/>
    <w:rsid w:val="00AA1D8D"/>
    <w:rsid w:val="00AF6260"/>
    <w:rsid w:val="00B47730"/>
    <w:rsid w:val="00CB0664"/>
    <w:rsid w:val="00DA29A3"/>
    <w:rsid w:val="00E576DA"/>
    <w:rsid w:val="00FB6249"/>
    <w:rsid w:val="00FC693F"/>
    <w:rsid w:val="00FF2ADF"/>
    <w:rsid w:val="08763FC3"/>
    <w:rsid w:val="15E07105"/>
    <w:rsid w:val="22BD4B81"/>
    <w:rsid w:val="27D110F1"/>
    <w:rsid w:val="2B2D4836"/>
    <w:rsid w:val="374833E2"/>
    <w:rsid w:val="37554741"/>
    <w:rsid w:val="37A56040"/>
    <w:rsid w:val="3B093A95"/>
    <w:rsid w:val="3D0F0464"/>
    <w:rsid w:val="41654680"/>
    <w:rsid w:val="4C64038C"/>
    <w:rsid w:val="4FFD0EF1"/>
    <w:rsid w:val="5C665027"/>
    <w:rsid w:val="616C5A49"/>
    <w:rsid w:val="692A0C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unhideWhenUsed="0" w:uiPriority="69" w:semiHidden="0" w:name="Medium Grid 3 Accent 1"/>
    <w:lsdException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qFormat="1"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Arial" w:hAnsi="Arial" w:eastAsia="微软雅黑" w:cstheme="minorBidi"/>
      <w:sz w:val="21"/>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8"/>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6"/>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8"/>
    <w:unhideWhenUsed/>
    <w:qFormat/>
    <w:uiPriority w:val="99"/>
    <w:pPr>
      <w:tabs>
        <w:tab w:val="center" w:pos="4680"/>
        <w:tab w:val="right" w:pos="9360"/>
      </w:tabs>
      <w:spacing w:after="0" w:line="240" w:lineRule="auto"/>
    </w:pPr>
  </w:style>
  <w:style w:type="paragraph" w:styleId="25">
    <w:name w:val="header"/>
    <w:basedOn w:val="1"/>
    <w:link w:val="137"/>
    <w:unhideWhenUsed/>
    <w:qFormat/>
    <w:uiPriority w:val="99"/>
    <w:pPr>
      <w:tabs>
        <w:tab w:val="center" w:pos="4680"/>
        <w:tab w:val="right" w:pos="9360"/>
      </w:tabs>
      <w:spacing w:after="0" w:line="240" w:lineRule="auto"/>
    </w:pPr>
  </w:style>
  <w:style w:type="paragraph" w:styleId="26">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7"/>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qFormat/>
    <w:uiPriority w:val="99"/>
    <w:pPr>
      <w:spacing w:beforeAutospacing="1" w:after="0" w:afterAutospacing="1"/>
    </w:pPr>
    <w:rPr>
      <w:rFonts w:cs="Times New Roman"/>
      <w:sz w:val="24"/>
      <w:lang w:eastAsia="zh-CN"/>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Light Shading"/>
    <w:basedOn w:val="33"/>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styleId="136">
    <w:name w:val="Hyperlink"/>
    <w:basedOn w:val="133"/>
    <w:semiHidden/>
    <w:unhideWhenUsed/>
    <w:qFormat/>
    <w:uiPriority w:val="99"/>
    <w:rPr>
      <w:color w:val="0000FF"/>
      <w:u w:val="single"/>
    </w:rPr>
  </w:style>
  <w:style w:type="character" w:customStyle="1" w:styleId="137">
    <w:name w:val="页眉 字符"/>
    <w:basedOn w:val="133"/>
    <w:link w:val="25"/>
    <w:qFormat/>
    <w:uiPriority w:val="99"/>
  </w:style>
  <w:style w:type="character" w:customStyle="1" w:styleId="138">
    <w:name w:val="页脚 字符"/>
    <w:basedOn w:val="133"/>
    <w:link w:val="24"/>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标题 1 字符"/>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标题 2 字符"/>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标题 3 字符"/>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标题 字符"/>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副标题 字符"/>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正文文本 字符"/>
    <w:basedOn w:val="133"/>
    <w:link w:val="19"/>
    <w:qFormat/>
    <w:uiPriority w:val="99"/>
  </w:style>
  <w:style w:type="character" w:customStyle="1" w:styleId="147">
    <w:name w:val="正文文本 2 字符"/>
    <w:basedOn w:val="133"/>
    <w:link w:val="28"/>
    <w:qFormat/>
    <w:uiPriority w:val="99"/>
  </w:style>
  <w:style w:type="character" w:customStyle="1" w:styleId="148">
    <w:name w:val="正文文本 3 字符"/>
    <w:basedOn w:val="133"/>
    <w:link w:val="17"/>
    <w:qFormat/>
    <w:uiPriority w:val="99"/>
    <w:rPr>
      <w:sz w:val="16"/>
      <w:szCs w:val="16"/>
    </w:rPr>
  </w:style>
  <w:style w:type="character" w:customStyle="1" w:styleId="149">
    <w:name w:val="宏文本 字符"/>
    <w:basedOn w:val="133"/>
    <w:link w:val="2"/>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引用 字符"/>
    <w:basedOn w:val="133"/>
    <w:link w:val="150"/>
    <w:qFormat/>
    <w:uiPriority w:val="29"/>
    <w:rPr>
      <w:i/>
      <w:iCs/>
      <w:color w:val="000000" w:themeColor="text1"/>
      <w14:textFill>
        <w14:solidFill>
          <w14:schemeClr w14:val="tx1"/>
        </w14:solidFill>
      </w14:textFill>
    </w:rPr>
  </w:style>
  <w:style w:type="character" w:customStyle="1" w:styleId="152">
    <w:name w:val="标题 4 字符"/>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标题 5 字符"/>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4">
    <w:name w:val="标题 6 字符"/>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5">
    <w:name w:val="标题 7 字符"/>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标题 8 字符"/>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标题 9 字符"/>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明显引用 字符"/>
    <w:basedOn w:val="133"/>
    <w:link w:val="158"/>
    <w:qFormat/>
    <w:uiPriority w:val="30"/>
    <w:rPr>
      <w:b/>
      <w:bCs/>
      <w:i/>
      <w:iCs/>
      <w:color w:val="4F81BD" w:themeColor="accent1"/>
      <w14:textFill>
        <w14:solidFill>
          <w14:schemeClr w14:val="accent1"/>
        </w14:solidFill>
      </w14:textFill>
    </w:rPr>
  </w:style>
  <w:style w:type="character" w:customStyle="1" w:styleId="160">
    <w:name w:val="不明显强调1"/>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明显强调1"/>
    <w:basedOn w:val="133"/>
    <w:qFormat/>
    <w:uiPriority w:val="21"/>
    <w:rPr>
      <w:b/>
      <w:bCs/>
      <w:i/>
      <w:iCs/>
      <w:color w:val="4F81BD" w:themeColor="accent1"/>
      <w14:textFill>
        <w14:solidFill>
          <w14:schemeClr w14:val="accent1"/>
        </w14:solidFill>
      </w14:textFill>
    </w:rPr>
  </w:style>
  <w:style w:type="character" w:customStyle="1" w:styleId="162">
    <w:name w:val="不明显参考1"/>
    <w:basedOn w:val="133"/>
    <w:qFormat/>
    <w:uiPriority w:val="31"/>
    <w:rPr>
      <w:smallCaps/>
      <w:color w:val="C0504D" w:themeColor="accent2"/>
      <w:u w:val="single"/>
      <w14:textFill>
        <w14:solidFill>
          <w14:schemeClr w14:val="accent2"/>
        </w14:solidFill>
      </w14:textFill>
    </w:rPr>
  </w:style>
  <w:style w:type="character" w:customStyle="1" w:styleId="163">
    <w:name w:val="明显参考1"/>
    <w:basedOn w:val="133"/>
    <w:qFormat/>
    <w:uiPriority w:val="32"/>
    <w:rPr>
      <w:b/>
      <w:bCs/>
      <w:smallCaps/>
      <w:color w:val="C0504D" w:themeColor="accent2"/>
      <w:spacing w:val="5"/>
      <w:u w:val="single"/>
      <w14:textFill>
        <w14:solidFill>
          <w14:schemeClr w14:val="accent2"/>
        </w14:solidFill>
      </w14:textFill>
    </w:rPr>
  </w:style>
  <w:style w:type="character" w:customStyle="1" w:styleId="164">
    <w:name w:val="书籍标题1"/>
    <w:basedOn w:val="133"/>
    <w:qFormat/>
    <w:uiPriority w:val="33"/>
    <w:rPr>
      <w:b/>
      <w:bCs/>
      <w:smallCaps/>
      <w:spacing w:val="5"/>
    </w:rPr>
  </w:style>
  <w:style w:type="paragraph" w:customStyle="1" w:styleId="165">
    <w:name w:val="TOC 标题1"/>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28</Pages>
  <Words>2668</Words>
  <Characters>6562</Characters>
  <Lines>25</Lines>
  <Paragraphs>7</Paragraphs>
  <TotalTime>83</TotalTime>
  <ScaleCrop>false</ScaleCrop>
  <LinksUpToDate>false</LinksUpToDate>
  <CharactersWithSpaces>7385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2026-04-12T08:31:00Z</dcterms:created>
  <dc:creator>python-docx</dc:creator>
  <dc:description>generated by python-docx</dc:description>
  <cp:lastModifiedBy>WPS_1676808745</cp:lastModifiedBy>
  <dcterms:modified xsi:type="dcterms:W3CDTF">2026-05-11T15:03:41Z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eyJoZGlkIjoiYTUzNWIxNDhkOTYzMmZmNmQ3YmM4YmE2MmFkY2I2NTgiLCJ1c2VySWQiOiIxNDc0OTQ1NDE2In0=</vt:lpwstr>
  </property>
  <property fmtid="{D5CDD505-2E9C-101B-9397-08002B2CF9AE}" pid="3" name="KSOProductBuildVer">
    <vt:lpwstr>2052-12.1.0.23542</vt:lpwstr>
  </property>
  <property fmtid="{D5CDD505-2E9C-101B-9397-08002B2CF9AE}" pid="4" name="ICV">
    <vt:lpwstr>36F63333ABF041BC83B87FC8082CE4F1_13</vt:lpwstr>
  </property>
</Properties>
</file>